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Zoning Ordinance</w:t>
      </w:r>
    </w:p>
    <w:p>
      <w:pPr>
        <w:pStyle w:val="Subtitle"/>
      </w:pPr>
      <w:r>
        <w:t xml:space="preserve">City of Worcester, Massachusetts</w:t>
      </w:r>
    </w:p>
    <w:p>
      <w:pPr>
        <w:pStyle w:val="History"/>
      </w:pPr>
      <w:r>
        <w:t xml:space="preserve">current through 2026.</w:t>
      </w:r>
    </w:p>
    <w:p>
      <w:pPr>
        <w:pStyle w:val="Heading2"/>
      </w:pPr>
      <w:r>
        <w:t xml:space="preserve">Article I. General Provisions</w:t>
      </w:r>
    </w:p>
    <w:p>
      <w:pPr>
        <w:pStyle w:val="Heading3"/>
      </w:pPr>
      <w:r>
        <w:t xml:space="preserve">§ 1. Purpose</w:t>
      </w:r>
    </w:p>
    <w:p>
      <w:pPr>
        <w:pStyle w:val="ListParagraph"/>
        <w:numPr>
          <w:ilvl w:val="0"/>
          <w:numId w:val="1"/>
        </w:numPr>
      </w:pPr>
      <w:r>
        <w:t xml:space="preserve">A.</w:t>
      </w:r>
      <w:r>
        <w:tab/>
      </w:r>
      <w:r>
        <w:t xml:space="preserve">The Zoning Ordinance of the City of Worcester is intended to promote the health, safety and general welfare of the public and to contribute to the implementation of the City’s ongoing comprehensive planning process. To accomplish these ends, the Zoning Ordinance is designed to encourage the most appropriate use of land in a manner that:</w:t>
      </w:r>
    </w:p>
    <w:p>
      <w:pPr>
        <w:pStyle w:val="ListParagraph"/>
        <w:numPr>
          <w:ilvl w:val="1"/>
          <w:numId w:val="1"/>
        </w:numPr>
      </w:pPr>
      <w:r>
        <w:t xml:space="preserve">1.</w:t>
      </w:r>
      <w:r>
        <w:tab/>
      </w:r>
      <w:r>
        <w:t xml:space="preserve">Creates and maintains conditions under which people and their environment can fulfill the social, economic and other needs of present and future generations.</w:t>
      </w:r>
    </w:p>
    <w:p>
      <w:pPr>
        <w:pStyle w:val="ListParagraph"/>
        <w:numPr>
          <w:ilvl w:val="1"/>
          <w:numId w:val="1"/>
        </w:numPr>
      </w:pPr>
      <w:r>
        <w:t xml:space="preserve">2.</w:t>
      </w:r>
      <w:r>
        <w:tab/>
      </w:r>
      <w:r>
        <w:t xml:space="preserve">To facilitate the adequate and economic provision of transportation, water supply, drainage, sewerage, schools, parks, open space, light and other public requirements;</w:t>
      </w:r>
    </w:p>
    <w:p>
      <w:pPr>
        <w:pStyle w:val="ListParagraph"/>
        <w:numPr>
          <w:ilvl w:val="1"/>
          <w:numId w:val="1"/>
        </w:numPr>
      </w:pPr>
      <w:r>
        <w:t xml:space="preserve">3.</w:t>
      </w:r>
      <w:r>
        <w:tab/>
      </w:r>
      <w:r>
        <w:t xml:space="preserve">Encourages the creation and preservation of housing of such type, size and cost suitable for meeting the current and future needs of the City;</w:t>
      </w:r>
    </w:p>
    <w:p>
      <w:pPr>
        <w:pStyle w:val="ListParagraph"/>
        <w:numPr>
          <w:ilvl w:val="1"/>
          <w:numId w:val="1"/>
        </w:numPr>
      </w:pPr>
      <w:r>
        <w:t xml:space="preserve">4.</w:t>
      </w:r>
      <w:r>
        <w:tab/>
      </w:r>
      <w:r>
        <w:t xml:space="preserve">Protects against: overcrowding of land; air and water pollution; use of land incompatible with nearby uses; undue intensity of noise; danger and congestion in travel and transportation; and loss of life, health, or property from fire, flood, panic or other dangers;</w:t>
      </w:r>
    </w:p>
    <w:p>
      <w:pPr>
        <w:pStyle w:val="ListParagraph"/>
        <w:numPr>
          <w:ilvl w:val="1"/>
          <w:numId w:val="1"/>
        </w:numPr>
      </w:pPr>
      <w:r>
        <w:t xml:space="preserve">5.</w:t>
      </w:r>
      <w:r>
        <w:tab/>
      </w:r>
      <w:r>
        <w:t xml:space="preserve">Protects natural resources as well as the scenic and aesthetic qualities of the community;</w:t>
      </w:r>
    </w:p>
    <w:p>
      <w:pPr>
        <w:pStyle w:val="ListParagraph"/>
        <w:numPr>
          <w:ilvl w:val="1"/>
          <w:numId w:val="1"/>
        </w:numPr>
      </w:pPr>
      <w:r>
        <w:t xml:space="preserve">6.</w:t>
      </w:r>
      <w:r>
        <w:tab/>
      </w:r>
      <w:r>
        <w:t xml:space="preserve">Promotes the preservation of historically/architecturally significant land uses.</w:t>
      </w:r>
    </w:p>
    <w:p>
      <w:pPr>
        <w:pStyle w:val="Heading3"/>
      </w:pPr>
      <w:r>
        <w:t xml:space="preserve">§ 2. Definitions</w:t>
      </w:r>
    </w:p>
    <w:p>
      <w:r>
        <w:t xml:space="preserve">Following are general definitions used throughout this Ordinance, which shall have meanings as used in common discourse. Other definitions, specific to a particular use or activity, are included elsewhere in this Ordinance. Where two or more definitions may reasonably apply to a particular use or activity, the more specific definition shall control as determined by the Director of Code Enforcement.</w:t>
      </w:r>
    </w:p>
    <w:p>
      <w:pPr>
        <w:pStyle w:val="ListParagraph"/>
        <w:numPr>
          <w:ilvl w:val="0"/>
          <w:numId w:val="1"/>
        </w:numPr>
      </w:pPr>
      <w:r>
        <w:t xml:space="preserve">1.</w:t>
      </w:r>
      <w:r>
        <w:tab/>
      </w:r>
      <w:r>
        <w:t xml:space="preserve">provides room and board; and</w:t>
      </w:r>
    </w:p>
    <w:p>
      <w:pPr>
        <w:pStyle w:val="ListParagraph"/>
        <w:numPr>
          <w:ilvl w:val="0"/>
          <w:numId w:val="1"/>
        </w:numPr>
      </w:pPr>
      <w:r>
        <w:t xml:space="preserve">2.</w:t>
      </w:r>
      <w:r>
        <w:tab/>
      </w:r>
      <w:r>
        <w:t xml:space="preserve">provides, directly by employees of the entity or through arrangements with another organization which the entity may or may not control or own, assistance with activities of daily living for three or more adult residents who are not related by consanguinity or affinity to their car provider; and</w:t>
      </w:r>
    </w:p>
    <w:p>
      <w:pPr>
        <w:pStyle w:val="ListParagraph"/>
        <w:numPr>
          <w:ilvl w:val="0"/>
          <w:numId w:val="1"/>
        </w:numPr>
      </w:pPr>
      <w:r>
        <w:t xml:space="preserve">3.</w:t>
      </w:r>
      <w:r>
        <w:tab/>
      </w:r>
      <w:r>
        <w:t xml:space="preserve">collects payments or third party reimbursements from or on behalf of residents to pay for the provision of assistance with the activities of daily living or arranges for the same.</w:t>
      </w:r>
    </w:p>
    <w:p>
      <w:pPr>
        <w:ind w:left="490"/>
      </w:pPr>
      <w:r>
        <w:rPr>
          <w:rStyle w:val="Term"/>
        </w:rPr>
        <w:t xml:space="preserve">ABANDONMENT</w:t>
      </w:r>
      <w:r>
        <w:t xml:space="preserve"> ABANDONMENT – The visible or otherwise apparent intention of an owner to discontinue a nonconforming use of a building or premises; including, but not limited to the removal of characteristic equipment or furnishings, or the replacement of the nonconforming use with a conforming use. (See Article XVI, Section-4(E)(3)).</w:t>
      </w:r>
    </w:p>
    <w:p>
      <w:pPr>
        <w:ind w:left="490"/>
      </w:pPr>
      <w:r>
        <w:rPr>
          <w:rStyle w:val="Term"/>
        </w:rPr>
        <w:t xml:space="preserve">ABUTTING</w:t>
      </w:r>
      <w:r>
        <w:t xml:space="preserve"> ABUTTING – Having a common border with, or being separated from such common border by a right of way, alley or easement.</w:t>
      </w:r>
    </w:p>
    <w:p>
      <w:pPr>
        <w:ind w:left="490"/>
      </w:pPr>
      <w:r>
        <w:rPr>
          <w:rStyle w:val="Term"/>
        </w:rPr>
        <w:t xml:space="preserve">ACCESSORY PARKING</w:t>
      </w:r>
      <w:r>
        <w:t xml:space="preserve"> ACCESSORY PARKING – The parking required by this Ordinance pursuant to the primary use. Also includes that parking provided above the minimum requirements of the Ordinance.</w:t>
      </w:r>
    </w:p>
    <w:p>
      <w:pPr>
        <w:ind w:left="490"/>
      </w:pPr>
      <w:r>
        <w:rPr>
          <w:rStyle w:val="Term"/>
        </w:rPr>
        <w:t xml:space="preserve">ACCESSORY USE</w:t>
      </w:r>
      <w:r>
        <w:t xml:space="preserve"> ACCESSORY USE – A land use which is subordinate and incidental to a predominant or main use. (See Article IV, Section-8.)</w:t>
      </w:r>
    </w:p>
    <w:p>
      <w:pPr>
        <w:ind w:left="490"/>
      </w:pPr>
      <w:r>
        <w:rPr>
          <w:rStyle w:val="Term"/>
        </w:rPr>
        <w:t xml:space="preserve">AFFORDABLE HOUSING</w:t>
      </w:r>
      <w:r>
        <w:t xml:space="preserve"> AFFORDABLE HOUSING – Housing which can be afforded by a household whose income is eighty percent (80%) of the median household income for the City of Worcester, and/or housing which is eligible for some form of public support (local, state, federal). Except where the program criteria differ from this general definition, the program criteria shall govern.</w:t>
      </w:r>
    </w:p>
    <w:p>
      <w:pPr>
        <w:ind w:left="490"/>
      </w:pPr>
      <w:r>
        <w:rPr>
          <w:rStyle w:val="Term"/>
        </w:rPr>
        <w:t xml:space="preserve">AIR RIGHTS</w:t>
      </w:r>
      <w:r>
        <w:t xml:space="preserve"> AIR RIGHTS – The rights to the space above a property for development.</w:t>
      </w:r>
    </w:p>
    <w:p>
      <w:pPr>
        <w:ind w:left="490"/>
      </w:pPr>
      <w:r>
        <w:rPr>
          <w:rStyle w:val="Term"/>
        </w:rPr>
        <w:t xml:space="preserve">AIRPORT ENVIRONS</w:t>
      </w:r>
      <w:r>
        <w:t xml:space="preserve"> AIRPORT ENVIRONS – AN overlay district surrounding the Worcester Regional Airport, as described in this ordinance, Article XI, and shown on the Official Zoning Map.</w:t>
      </w:r>
    </w:p>
    <w:p>
      <w:pPr>
        <w:ind w:left="490"/>
      </w:pPr>
      <w:r>
        <w:rPr>
          <w:rStyle w:val="Term"/>
        </w:rPr>
        <w:t xml:space="preserve">ALLEY</w:t>
      </w:r>
      <w:r>
        <w:t xml:space="preserve"> ALLEY – Any private way affording a secondary means of vehicular access between abutting properties and not intended for general traffic circulation.</w:t>
      </w:r>
    </w:p>
    <w:p>
      <w:pPr>
        <w:ind w:left="490"/>
      </w:pPr>
      <w:r>
        <w:rPr>
          <w:rStyle w:val="Term"/>
        </w:rPr>
        <w:t xml:space="preserve">ALTERATION</w:t>
      </w:r>
      <w:r>
        <w:t xml:space="preserve"> ALTERATION – Any construction, reconstruction or other action resulting in a change in a structure; including but not limited to the height, the number of stories or exits, the size, the use, or the location of a building or structure.</w:t>
      </w:r>
    </w:p>
    <w:p>
      <w:pPr>
        <w:ind w:left="490"/>
      </w:pPr>
      <w:r>
        <w:rPr>
          <w:rStyle w:val="Term"/>
        </w:rPr>
        <w:t xml:space="preserve">ANIMAL CLINIC</w:t>
      </w:r>
      <w:r>
        <w:t xml:space="preserve"> ANIMAL CLINIC – A building or structure used for walk-in treatment of injured animals not to be kept overnight.</w:t>
      </w:r>
    </w:p>
    <w:p>
      <w:pPr>
        <w:ind w:left="490"/>
      </w:pPr>
      <w:r>
        <w:rPr>
          <w:rStyle w:val="Term"/>
        </w:rPr>
        <w:t xml:space="preserve">ANIMAL HOSPITAL</w:t>
      </w:r>
      <w:r>
        <w:t xml:space="preserve"> ANIMAL HOSPITAL – A building or structure used to house and provide treatment for injured animals and to board and groom animals.</w:t>
      </w:r>
    </w:p>
    <w:p>
      <w:pPr>
        <w:ind w:left="490"/>
      </w:pPr>
      <w:r>
        <w:rPr>
          <w:rStyle w:val="Term"/>
        </w:rPr>
        <w:t xml:space="preserve">ANTENNA</w:t>
      </w:r>
      <w:r>
        <w:t xml:space="preserve"> ANTENNA – Equipment designed to transmit or receive electronic signals; includes satellite dish.</w:t>
      </w:r>
    </w:p>
    <w:p>
      <w:pPr>
        <w:ind w:left="490"/>
      </w:pPr>
      <w:r>
        <w:rPr>
          <w:rStyle w:val="Term"/>
        </w:rPr>
        <w:t xml:space="preserve">ASSISTED LIVING RESIDENCE</w:t>
      </w:r>
      <w:r>
        <w:t xml:space="preserve"> ASSISTED LIVING RESIDENCE – Any entity, however organized, whether conducted for profit or not for profit, which meets all of the following criteria:</w:t>
      </w:r>
    </w:p>
    <w:p>
      <w:pPr>
        <w:ind w:left="490"/>
      </w:pPr>
      <w:r>
        <w:rPr>
          <w:rStyle w:val="Term"/>
        </w:rPr>
        <w:t xml:space="preserve">ATTIC</w:t>
      </w:r>
      <w:r>
        <w:t xml:space="preserve"> ATTIC – The space between the ceiling beams of the top habitable story and the roof rafters.</w:t>
      </w:r>
    </w:p>
    <w:p>
      <w:pPr>
        <w:ind w:left="490"/>
      </w:pPr>
      <w:r>
        <w:rPr>
          <w:rStyle w:val="Term"/>
        </w:rPr>
        <w:t xml:space="preserve">AUTOMOBILE REFUELING STATION</w:t>
      </w:r>
      <w:r>
        <w:t xml:space="preserve"> AUTOMOBILE REFUELING STATION – A structure, building or premises or any portion thereof where gasoline, oil, alternative fuels or other similar products are stored and sold by an attendant and/or on a self-service basis to the public, without repair service or garage, but may also include retail sales.</w:t>
      </w:r>
    </w:p>
    <w:p>
      <w:pPr>
        <w:ind w:left="490"/>
      </w:pPr>
      <w:r>
        <w:rPr>
          <w:rStyle w:val="Term"/>
        </w:rPr>
        <w:t xml:space="preserve">BASEMENT</w:t>
      </w:r>
      <w:r>
        <w:t xml:space="preserve"> BASEMENT – A portion of a building partly underground which has more than one-half (1/2) of its clear height from floor to ceiling above the outside average grade of the ground adjoining the building. A basement is not considered a story unless its ceiling is six (6) feet or more above grade.</w:t>
      </w:r>
    </w:p>
    <w:p>
      <w:pPr>
        <w:ind w:left="490"/>
      </w:pPr>
      <w:r>
        <w:rPr>
          <w:rStyle w:val="Term"/>
        </w:rPr>
        <w:t xml:space="preserve">BED AND BREAKFAST ESTABLISHMENT</w:t>
      </w:r>
      <w:r>
        <w:t xml:space="preserve"> BED AND BREAKFAST ESTABLISHMENT – An owner-occupied dwelling with no more than six (6) guestrooms that includes a breakfast in the guestroom rate, and provides for a term of residency of less than eight (8) days. Guestrooms shall not include individual kitchen facilities, but shall be allowed an individual or shared bath/toilet facility, with at least one toilet, one bath/shower, and one washbasin separate from those required for the single-family residence portion of the dwelling. A maximum of two guests are allowed per room and children under the age of twelve (12) years shall not be considered in the total number of guests. The use of that portion of the dwelling devoted to transient occupancy shall be accessory to the use of the dwelling as a single-family residence and shall not change the character thereof.</w:t>
      </w:r>
    </w:p>
    <w:p>
      <w:pPr>
        <w:ind w:left="490"/>
      </w:pPr>
      <w:r>
        <w:rPr>
          <w:rStyle w:val="Term"/>
        </w:rPr>
        <w:t xml:space="preserve">BLOCK</w:t>
      </w:r>
      <w:r>
        <w:t xml:space="preserve"> BLOCK – A portion of land measured along a public way right-of-way line, extending from one intersecting public way to the next intersecting public way along the same right-of-way line.</w:t>
      </w:r>
    </w:p>
    <w:p>
      <w:pPr>
        <w:ind w:left="490"/>
      </w:pPr>
      <w:r>
        <w:rPr>
          <w:rStyle w:val="Term"/>
        </w:rPr>
        <w:t xml:space="preserve">BUILDING</w:t>
      </w:r>
      <w:r>
        <w:t xml:space="preserve"> BUILDING – A combination of any materials, whether portable or fixed, having a roof and enclosed within exterior walls or firewalls which is built, erected or framed to form a structure for the shelter of persons, animals or property.</w:t>
      </w:r>
    </w:p>
    <w:p>
      <w:pPr>
        <w:ind w:left="490"/>
      </w:pPr>
      <w:r>
        <w:rPr>
          <w:rStyle w:val="Term"/>
        </w:rPr>
        <w:t xml:space="preserve">BUILDING, ACCESSORY</w:t>
      </w:r>
      <w:r>
        <w:t xml:space="preserve"> BUILDING, ACCESSORY – A building the use of which is primarily subordinate and incidental to that of the principal building and which is located on the same lot.</w:t>
      </w:r>
    </w:p>
    <w:p>
      <w:pPr>
        <w:ind w:left="490"/>
      </w:pPr>
      <w:r>
        <w:rPr>
          <w:rStyle w:val="Term"/>
        </w:rPr>
        <w:t xml:space="preserve">BUILDING ENVELOPE</w:t>
      </w:r>
      <w:r>
        <w:t xml:space="preserve"> BUILDING ENVELOPE – That area on a lot that encompasses all development including but not limited to excavation, fill, grading, storage, demolition, structures, building heights, decks, roof overhangs, porches, patios and terraces, pools and any areas of disturbance.</w:t>
      </w:r>
    </w:p>
    <w:p>
      <w:pPr>
        <w:ind w:left="490"/>
      </w:pPr>
      <w:r>
        <w:rPr>
          <w:rStyle w:val="Term"/>
        </w:rPr>
        <w:t xml:space="preserve">BUILDING LINE</w:t>
      </w:r>
      <w:r>
        <w:t xml:space="preserve"> BUILDING LINE – The line, parallel to the street line, which passes through the point of the principal building nearest the front lot line.</w:t>
      </w:r>
    </w:p>
    <w:p>
      <w:pPr>
        <w:ind w:left="490"/>
      </w:pPr>
      <w:r>
        <w:rPr>
          <w:rStyle w:val="Term"/>
        </w:rPr>
        <w:t xml:space="preserve">BUILDING, PRINCIPAL</w:t>
      </w:r>
      <w:r>
        <w:t xml:space="preserve"> BUILDING, PRINCIPAL – A building in which is conducted the principal use of the lot on which it is located.</w:t>
      </w:r>
    </w:p>
    <w:p>
      <w:pPr>
        <w:ind w:left="490"/>
      </w:pPr>
      <w:r>
        <w:rPr>
          <w:rStyle w:val="Term"/>
        </w:rPr>
        <w:t xml:space="preserve">CAMPUS</w:t>
      </w:r>
      <w:r>
        <w:t xml:space="preserve"> CAMPUS – A campus is the single geographic area (even though such area may be divided by public or private streets, rivers, or parks), comprised of grounds and buildings owned or occupied by a licensed hospital or its affiliates or by a nonprofit academic or professional college or university.</w:t>
      </w:r>
    </w:p>
    <w:p>
      <w:pPr>
        <w:ind w:left="490"/>
      </w:pPr>
      <w:r>
        <w:rPr>
          <w:rStyle w:val="Term"/>
        </w:rPr>
        <w:t xml:space="preserve">CARPORT</w:t>
      </w:r>
      <w:r>
        <w:t xml:space="preserve"> CARPORT – An attached roof projecting from the side of a building, used as a shelter for an automobile.</w:t>
      </w:r>
    </w:p>
    <w:p>
      <w:pPr>
        <w:ind w:left="490"/>
      </w:pPr>
      <w:r>
        <w:rPr>
          <w:rStyle w:val="Term"/>
        </w:rPr>
        <w:t xml:space="preserve">CELLAR</w:t>
      </w:r>
      <w:r>
        <w:t xml:space="preserve"> CELLAR – The portion of the building partially underground, having one-half (1/2) or more of its clear height below the grade plane.</w:t>
      </w:r>
    </w:p>
    <w:p>
      <w:pPr>
        <w:pStyle w:val="Heading2"/>
      </w:pPr>
      <w:r>
        <w:t xml:space="preserve">Article II. Administration and Procedure of Enforcement</w:t>
      </w:r>
    </w:p>
    <w:p>
      <w:pPr>
        <w:pStyle w:val="Heading3"/>
      </w:pPr>
      <w:r>
        <w:t xml:space="preserve">§ 3. Violations</w:t>
      </w:r>
    </w:p>
    <w:p>
      <w:pPr>
        <w:pStyle w:val="ListParagraph"/>
        <w:numPr>
          <w:ilvl w:val="0"/>
          <w:numId w:val="1"/>
        </w:numPr>
      </w:pPr>
      <w:r>
        <w:t xml:space="preserve">A.</w:t>
      </w:r>
      <w:r>
        <w:tab/>
      </w:r>
      <w:r>
        <w:t xml:space="preserve">If the Director of Code Enforcement shall be informed, or have reason to believe that any provision of this Ordinance or any permit issued there-under has been, is being, or is likely to be violated, he shall make or cause an investigation to be made of the facts, including an inspection of the property where the violation may exist. If he finds any violation, he shall give immediate notice in writing to the owner or his duly authorized agent, and to the occupants of the premises, and order that such violation immediately cease. Where it becomes necessary to effectively enforce this Ordinance, he may institute such legal process as deemed advisable. In the prosecution of any such action he shall be given the services of the city law department. The Director of Code Enforcement may take any other action as provided by law.</w:t>
      </w:r>
    </w:p>
    <w:p>
      <w:pPr>
        <w:pStyle w:val="ListParagraph"/>
        <w:numPr>
          <w:ilvl w:val="0"/>
          <w:numId w:val="1"/>
        </w:numPr>
      </w:pPr>
      <w:r>
        <w:t xml:space="preserve">B.</w:t>
      </w:r>
      <w:r>
        <w:tab/>
      </w:r>
      <w:r>
        <w:t xml:space="preserve">If the Director of Code Enforcement is requested in writing to enforce a zoning ordinance against any person allegedly in violation of the same and the Director of Code Enforcement declines to act, he shall notify, in writing, the party requesting such enforcement of any action or refusal to act, and the reasons thereof, within fourteen (14) days of receipt of such request. Any such request not acted upon within 14 days shall be deemed denied.</w:t>
      </w:r>
    </w:p>
    <w:p>
      <w:pPr>
        <w:pStyle w:val="Heading3"/>
      </w:pPr>
      <w:r>
        <w:t xml:space="preserve">§ 4. Penalty</w:t>
      </w:r>
    </w:p>
    <w:p>
      <w:r>
        <w:t xml:space="preserve">Any person violating any provisions of this Ordinance, or amendments thereof, or any of the conditions under which a special permit or variance is issued, may be fined not more than three hundred dollars ($300.00) for each offense. Each day that such a violation continues shall constitute a separate offense.</w:t>
      </w:r>
    </w:p>
    <w:p>
      <w:pPr>
        <w:pStyle w:val="Heading3"/>
      </w:pPr>
      <w:r>
        <w:t xml:space="preserve">§ 7. Planning Board</w:t>
      </w:r>
    </w:p>
    <w:p>
      <w:r>
        <w:t xml:space="preserve">Establishment – References in this Ordinance to the Planning Board shall mean the agency of the City established under Article VI of the Home Rule Charter and codified in the “Organization of City Agencies” portion of the Revised Ordinances of 1996.</w:t>
      </w:r>
    </w:p>
    <w:p>
      <w:pPr>
        <w:pStyle w:val="ListParagraph"/>
        <w:numPr>
          <w:ilvl w:val="0"/>
          <w:numId w:val="1"/>
        </w:numPr>
      </w:pPr>
      <w:r>
        <w:t xml:space="preserve">A.</w:t>
      </w:r>
      <w:r>
        <w:tab/>
      </w:r>
      <w:r>
        <w:t xml:space="preserve">Duties of the Planning Board – The Planning Board is authorized to do the following:</w:t>
      </w:r>
    </w:p>
    <w:p>
      <w:pPr>
        <w:pStyle w:val="ListParagraph"/>
        <w:numPr>
          <w:ilvl w:val="1"/>
          <w:numId w:val="1"/>
        </w:numPr>
      </w:pPr>
      <w:r>
        <w:t xml:space="preserve">1.</w:t>
      </w:r>
      <w:r>
        <w:tab/>
      </w:r>
      <w:r>
        <w:t xml:space="preserve">Special Permits The Planning Board shall be the Special Permit Granting Authority (SPGA) for all special permits issued under Article IV, Section 8(F), Private Driveways; Article IV, Section 8(G), Accessory Dwelling Units; Article IV, Section-13, Wind Energy Conversion Facilities; Article IV, Section 14, Adaptive Re-Use of Public or Non- Profit School Buildings; and Articles VII, VIII, IX, X, XII, and XV. The Planning Board shall also be the Special Permit Granting Authority (SPGA) for all special permits issued in any Priority Development Site designated by the City Council pursuant to M.G.L. c. 43D. The Planning Board, in exercising its role as an SPGA, shall be governed by the criteria set forth in Article II, Section-6(A)(2) relative to special permit applications reviewed by the ZBA.</w:t>
      </w:r>
    </w:p>
    <w:p>
      <w:pPr>
        <w:pStyle w:val="ListParagraph"/>
        <w:numPr>
          <w:ilvl w:val="1"/>
          <w:numId w:val="1"/>
        </w:numPr>
      </w:pPr>
      <w:r>
        <w:t xml:space="preserve">2.</w:t>
      </w:r>
      <w:r>
        <w:tab/>
      </w:r>
      <w:r>
        <w:t xml:space="preserve">Site Plan Review The Planning Board shall review and approve site plan applications as designated under Article V in accordance with the terms therein.</w:t>
      </w:r>
    </w:p>
    <w:p>
      <w:pPr>
        <w:pStyle w:val="Heading3"/>
      </w:pPr>
      <w:r>
        <w:t xml:space="preserve">§ 8. Rules, Regulations and Fees</w:t>
      </w:r>
    </w:p>
    <w:p>
      <w:r>
        <w:t xml:space="preserve">The ZBA and/or any SPGA are authorized to adopt such other rules and regulations as are not inconsistent with this Ordinance or </w:t>
      </w:r>
      <w:r>
        <w:t xml:space="preserve">M.G.L. c. 40A</w:t>
      </w:r>
      <w:r>
        <w:t xml:space="preserve"> and as are deemed appropriate to the faithful execution of their duties, including a determination of fees.</w:t>
      </w:r>
    </w:p>
    <w:p>
      <w:pPr>
        <w:pStyle w:val="Heading3"/>
      </w:pPr>
      <w:r>
        <w:t xml:space="preserve">§ 9. Meetings, Notices, Hearings and Decisions</w:t>
      </w:r>
    </w:p>
    <w:p>
      <w:pPr>
        <w:pStyle w:val="ListParagraph"/>
        <w:numPr>
          <w:ilvl w:val="0"/>
          <w:numId w:val="1"/>
        </w:numPr>
      </w:pPr>
      <w:r>
        <w:t xml:space="preserve">A.</w:t>
      </w:r>
      <w:r>
        <w:tab/>
      </w:r>
      <w:r>
        <w:t xml:space="preserve">Meetings Meetings of the ZBA and/or any SPGA shall be held at the call of the chairperson, or when called in such other manner as the ZBA or SPGA shall determine in its rules. The chairperson, or in his/her absence the acting chairperson, may administer oaths, summon witnesses, and call for the production of papers.</w:t>
      </w:r>
    </w:p>
    <w:p>
      <w:pPr>
        <w:pStyle w:val="ListParagraph"/>
        <w:numPr>
          <w:ilvl w:val="0"/>
          <w:numId w:val="1"/>
        </w:numPr>
      </w:pPr>
      <w:r>
        <w:t xml:space="preserve">B.</w:t>
      </w:r>
      <w:r>
        <w:tab/>
      </w:r>
      <w:r>
        <w:t xml:space="preserve">Notices In all cases, notice of a public hearing shall be given by the Executive Office of the City Manager Planning &amp; Regulatory Division by publication in a newspaper of general circulation in the city once in each of two (2) successive weeks; the first publication to be not less than fourteen (14) days before the day of the hearing and by posting such notice in a conspicuous place in City Hall for a period of not less than fourteen (14) days before the day of such hearing. In all cases, notice to parties of interest shall be sent by mail, postage prepaid. “Parties of interest” as used herein shall mean (i) the petitioner or appellant, (ii) abutters, (iii) owners of land directly opposite on any public or private street or way, and</w:t>
      </w:r>
    </w:p>
    <w:p>
      <w:pPr>
        <w:pStyle w:val="ListParagraph"/>
        <w:numPr>
          <w:ilvl w:val="1"/>
          <w:numId w:val="1"/>
        </w:numPr>
      </w:pPr>
      <w:r>
        <w:t xml:space="preserve">(iv)</w:t>
      </w:r>
      <w:r>
        <w:tab/>
      </w:r>
      <w:r>
        <w:t xml:space="preserve">abutters to the abutters within three hundred (300) feet of the property line of the petitioner as they appear on the most recent applicable tax list, notwithstanding that the land of any such owner is located in another city or town, (v) the Director of Code Enforcement, (vi) the Department of Public Works &amp; Facilities Engineering Services Division and Parks and Recreation Division, (vii) the Planning Board, if applicable, and</w:t>
      </w:r>
    </w:p>
    <w:p>
      <w:pPr>
        <w:pStyle w:val="ListParagraph"/>
        <w:numPr>
          <w:ilvl w:val="1"/>
          <w:numId w:val="1"/>
        </w:numPr>
      </w:pPr>
      <w:r>
        <w:t xml:space="preserve">(vii)</w:t>
      </w:r>
      <w:r>
        <w:tab/>
      </w:r>
      <w:r>
        <w:t xml:space="preserve">the planning board of every abutting city or town. The required publications and notices shall contain the name of the petitioner, a description of the area or premises, street address, or other adequate identification of the location, the date and place of the public hearing, the subject matter of the hearing, and the nature of action or relief requested.</w:t>
      </w:r>
    </w:p>
    <w:p>
      <w:pPr>
        <w:pStyle w:val="ListParagraph"/>
        <w:numPr>
          <w:ilvl w:val="0"/>
          <w:numId w:val="1"/>
        </w:numPr>
      </w:pPr>
      <w:r>
        <w:t xml:space="preserve">C.</w:t>
      </w:r>
      <w:r>
        <w:tab/>
      </w:r>
      <w:r>
        <w:t xml:space="preserve">Hearings</w:t>
      </w:r>
    </w:p>
    <w:p>
      <w:pPr>
        <w:pStyle w:val="ListParagraph"/>
        <w:numPr>
          <w:ilvl w:val="1"/>
          <w:numId w:val="1"/>
        </w:numPr>
      </w:pPr>
      <w:r>
        <w:t xml:space="preserve">1.</w:t>
      </w:r>
      <w:r>
        <w:tab/>
      </w:r>
      <w:r>
        <w:t xml:space="preserve">Special permits shall only be issued following public hearings held within sixty- five (65) days after filing of an application or petition with the relevant SPGA through the City Clerk. The SPGA shall render a decision within ninety (90) days following the close of said public hearing for which notice has been given, as set forth in the preceding Section-9(B). Failure of the SPGA to take final action (filing decision in the City Clerk’s office, see Section-9(D)(2)) within said ninety (90) days of the close of the public hearing may be deemed a grant of the special permit applied for. These time limits may be extended by written agreement, which shall be filed in the City Clerk’s office.</w:t>
      </w:r>
    </w:p>
    <w:p>
      <w:pPr>
        <w:pStyle w:val="ListParagraph"/>
        <w:numPr>
          <w:ilvl w:val="1"/>
          <w:numId w:val="1"/>
        </w:numPr>
      </w:pPr>
      <w:r>
        <w:t xml:space="preserve">2.</w:t>
      </w:r>
      <w:r>
        <w:tab/>
      </w:r>
      <w:r>
        <w:t xml:space="preserve">Variances shall only be issued following public hearings held within sixty-five (65) days after filing of an application with the ZBA through the City Clerk. The ZBA shall render a decision within one hundred (100) days after the filing of an application for a variance. In accordance with </w:t>
      </w:r>
      <w:r>
        <w:t xml:space="preserve">M.G.L. c. 40A, § 15</w:t>
      </w:r>
      <w:r>
        <w:t xml:space="preserve">, failure of the ZBA to take final action (filing decision in the City Clerk’s office) within said one hundred (100) days, may be deemed to be a grant of the variance applied for. These time limits may be extended by written agreement, which shall be filed in the City Clerk’s office.</w:t>
      </w:r>
    </w:p>
    <w:p>
      <w:pPr>
        <w:pStyle w:val="ListParagraph"/>
        <w:numPr>
          <w:ilvl w:val="1"/>
          <w:numId w:val="1"/>
        </w:numPr>
      </w:pPr>
      <w:r>
        <w:t xml:space="preserve">3.</w:t>
      </w:r>
      <w:r>
        <w:tab/>
      </w:r>
      <w:r>
        <w:t xml:space="preserve">Authorization for the alteration, extension or change of a pre-existing nonconforming use or structure shall only be issued following public hearings held within sixty-five (65) days after filing of a petition by the applicant with the ZBA through the City Clerk. The ZBA shall render a decision within one hundred (100) days after the filing of the petition for such authorization. In accordance with </w:t>
      </w:r>
      <w:r>
        <w:t xml:space="preserve">M.G.L. c. 40A, § 15</w:t>
      </w:r>
      <w:r>
        <w:t xml:space="preserve">, failure of the ZBA to take final action (filing decision in the City Clerk’s office) within said one hundred (100) days, may be deemed to be a grant of the petition. These time limits may be extended by written agreement, which shall be filed in the City Clerk’s office.</w:t>
      </w:r>
    </w:p>
    <w:p>
      <w:pPr>
        <w:pStyle w:val="ListParagraph"/>
        <w:numPr>
          <w:ilvl w:val="0"/>
          <w:numId w:val="1"/>
        </w:numPr>
      </w:pPr>
      <w:r>
        <w:t xml:space="preserve">D.</w:t>
      </w:r>
      <w:r>
        <w:tab/>
      </w:r>
      <w:r>
        <w:t xml:space="preserve">Decisions</w:t>
      </w:r>
    </w:p>
    <w:p>
      <w:pPr>
        <w:pStyle w:val="ListParagraph"/>
        <w:numPr>
          <w:ilvl w:val="1"/>
          <w:numId w:val="1"/>
        </w:numPr>
      </w:pPr>
      <w:r>
        <w:t xml:space="preserve">1.</w:t>
      </w:r>
      <w:r>
        <w:tab/>
      </w:r>
      <w:r>
        <w:t xml:space="preserve">The ZBA may, in conformity with the Massachusetts General Laws and the provisions of this Ordinance, make orders or decisions, reverse or affirm in whole or in part, or modify any order or decision, and to that end shall have all the powers of the officer from whom the appeal is taken and may issue or direct the issuance of a permit.</w:t>
      </w:r>
    </w:p>
    <w:p>
      <w:pPr>
        <w:pStyle w:val="ListParagraph"/>
        <w:numPr>
          <w:ilvl w:val="1"/>
          <w:numId w:val="1"/>
        </w:numPr>
      </w:pPr>
      <w:r>
        <w:t xml:space="preserve">2.</w:t>
      </w:r>
      <w:r>
        <w:tab/>
      </w:r>
      <w:r>
        <w:t xml:space="preserve">The ZBA or SPGA shall cause to be made a detailed record of its proceedings, indicating the vote of each member upon each question, or if absent or failing to vote, indicating such fact and setting forth clearly the reason or reasons for its decision and of its official actions, copies of all of which shall be filed within fourteen (14) days of its decision in the office of the City Clerk and shall be a public record, and notice of decisions shall be mailed forthwith by the ZBA or SPGA to the petitioner, applicant or appellant and to the parties of interest as listed in Section-9(B) and to every person present at the hearing who requested that notice be sent to him and stated the address to which such notice is to be sent. Each notice shall specify that appeals, if any, shall be filed within twenty (20) days after the date of filing of the decision in the office of the City Clerk.</w:t>
      </w:r>
    </w:p>
    <w:p>
      <w:pPr>
        <w:pStyle w:val="ListParagraph"/>
        <w:numPr>
          <w:ilvl w:val="1"/>
          <w:numId w:val="1"/>
        </w:numPr>
      </w:pPr>
      <w:r>
        <w:t xml:space="preserve">3.</w:t>
      </w:r>
      <w:r>
        <w:tab/>
      </w:r>
      <w:r>
        <w:t xml:space="preserve">Upon the granting of a variance, special permit or any extension, modification, or renewal thereof, the ZBA or SPGA shall issue to the owner and to the applicant, if other than the owner, a copy of its decision, certified by the ZBA or SPGA containing the name and address of the owner, identifying the land affected, setting forth compliance with the statutory requirements for the issuance of such variance and/or special permit and certifying that copies of the decision and all plans referred to in the decision have been filed with the Planning Board and the City Clerk. No variance, special permit or any extension, modification or renewal thereof shall take effect until a copy of the decision bearing the certification of the City Clerk that twenty (20) days have elapsed after the decision has been filed in the office of the City Clerk and no appeal has been filed or that if such appeal has been filed, that it has been dismissed or denied, and if it is a variance or special permit which has been approved by reason of the failure of the permit granting authority or special permit granting authority to act thereon within the time prescribed, a copy of the application for the special permit or petition for the variance accompanied by the certificate of the City Clerk stating the fact that the permit granting authority or special permit granting authority failed to act within the time prescribed and no appeal has been filed and that the grant of the application or petition resulting from such failure to act has become final or that if an appeal has been filed, that it has been dismissed or denied, is recorded in the Worcester District Registry of Deeds and indexed in the grantor index under the name of the owner of record or, in the case of registered land, is recorded and noted on the owner’s certificate and a copy of such recordation is filed with the Director of Code Enforcement.</w:t>
      </w:r>
    </w:p>
    <w:p>
      <w:pPr>
        <w:pStyle w:val="ListParagraph"/>
        <w:numPr>
          <w:ilvl w:val="1"/>
          <w:numId w:val="1"/>
        </w:numPr>
      </w:pPr>
      <w:r>
        <w:t xml:space="preserve">4.</w:t>
      </w:r>
      <w:r>
        <w:tab/>
      </w:r>
      <w:r>
        <w:t xml:space="preserve">Upon the approval of a petition to alter, extend or change a pre-existing nonconforming use or structure, the ZBA shall issue to the owner and to the applicant, if other than the owner, a copy of its decision, certified by the ZBA containing the name and address of the owner, identifying the land affected, setting forth compliance with the statutory requirements for the approval of such petition and certifying that copies of the decision and all plans referred to in the decision have been filed with the City Clerk. No approval to alter, extend or change a pre- existing nonconforming use or structure shall take effect until a copy of the decision bearing the certification of the City Clerk that twenty (20) days have elapsed after the decision has been filed in the office of the City Clerk and no appeal has been filed or that if such appeal has been filed, that it has been dismissed or denied, and if it is a petition which has been approved by reason of the failure of the ZBA to act thereon within the time prescribed, a copy of the petition accompanied by the certificate of the City Clerk stating the fact that the ZBA failed to act within the time prescribed and no appeal has been filed and that the grant of the petition resulting from such failure to act has become final or that if an appeal has been filed, that it has been dismissed or denied.</w:t>
      </w:r>
    </w:p>
    <w:p>
      <w:pPr>
        <w:pStyle w:val="ListParagraph"/>
        <w:numPr>
          <w:ilvl w:val="1"/>
          <w:numId w:val="1"/>
        </w:numPr>
      </w:pPr>
      <w:r>
        <w:t xml:space="preserve">5.</w:t>
      </w:r>
      <w:r>
        <w:tab/>
      </w:r>
      <w:r>
        <w:t xml:space="preserve">If the activity authorized by a special permit granted by the ZBA or SPGA is not initiated within one (1) year of the date of grant of such special permit except in the case of phased construction as approved by the ZBA or SPGA and/or if the activity is not completed within two (2) years, then the special permit shall lapse unless the Director of Code Enforcement makes a determination that the failure to complete was for good cause. Otherwise, after a lapse, the special permit may be re- established only after notice and a new hearing pursuant to this Ordinance. The foregoing timeframes shall be extended to include such time as required to pursue or await the determination of an appeal referred to in Section-9(E), below.</w:t>
      </w:r>
    </w:p>
    <w:p>
      <w:pPr>
        <w:pStyle w:val="ListParagraph"/>
        <w:numPr>
          <w:ilvl w:val="1"/>
          <w:numId w:val="1"/>
        </w:numPr>
      </w:pPr>
      <w:r>
        <w:t xml:space="preserve">6.</w:t>
      </w:r>
      <w:r>
        <w:tab/>
      </w:r>
      <w:r>
        <w:t xml:space="preserve">Construction or operations authorized by a building or special permit shall conform to any subsequent amendment(s) of this Ordinance unless the use or construction is commenced within a period of not more than six (6) months after the issuance of the permit and in the case of construction, it is continued through to completion as continuously and expeditiously as is reasonable.</w:t>
      </w:r>
    </w:p>
    <w:p>
      <w:pPr>
        <w:pStyle w:val="ListParagraph"/>
        <w:numPr>
          <w:ilvl w:val="1"/>
          <w:numId w:val="1"/>
        </w:numPr>
      </w:pPr>
      <w:r>
        <w:t xml:space="preserve">7.</w:t>
      </w:r>
      <w:r>
        <w:tab/>
      </w:r>
      <w:r>
        <w:t xml:space="preserve">Variances shall only be issued following public hearings by the ZBA. Said variance shall deal with respect to particular land or structures where the ZBA specifically finds that owing to circumstances relating to the soil conditions, shape, or topography of such land or structures and especially affecting such land or structures but not affecting generally the zoning district in which it is located, a literal enforcement of the provisions of this Ordinance would involve substantial hardship, financial or otherwise, to the petitioner or appellant, and that desirable relief may be granted without substantial detriment to the public good and without nullifying or substantially derogating from the intent or purpose of this Ordinance. If the rights authorized by a variance are not exercised within one (1) year of the date of grant of such variance they shall lapse; provided, however, that the permit granting authority in its discretion and upon written application by the grantee of such rights may extend the time for exercise of such rights for a period not to exceed six (6) months; and provided further, that the application for such extension is filed with such permit granting authority prior to the expiration of such one year period. If the permit granting authority does not grant such extension within thirty (30) days of the expiration of the date of application therefore, and upon the expiration of the original one year period, such rights may be re-established only after notice and a new hearing pursuant to this Ordinance, (see </w:t>
      </w:r>
      <w:r>
        <w:t xml:space="preserve">M.G.L. Ch. 40A, §10</w:t>
      </w:r>
      <w:r>
        <w:t xml:space="preserve">).</w:t>
      </w:r>
    </w:p>
    <w:p>
      <w:pPr>
        <w:pStyle w:val="ListParagraph"/>
        <w:numPr>
          <w:ilvl w:val="0"/>
          <w:numId w:val="1"/>
        </w:numPr>
      </w:pPr>
      <w:r>
        <w:t xml:space="preserve">E.</w:t>
      </w:r>
      <w:r>
        <w:tab/>
      </w:r>
      <w:r>
        <w:t xml:space="preserve">Judicial Review Any person aggrieved by a decision or the failure to take final action by the ZBA or SPGA, may seek judicial review pursuant to </w:t>
      </w:r>
      <w:r>
        <w:t xml:space="preserve">M.G.L. c. 40A, § 17</w:t>
      </w:r>
      <w:r>
        <w:t xml:space="preserve">.</w:t>
      </w:r>
    </w:p>
    <w:p>
      <w:pPr>
        <w:pStyle w:val="Heading3"/>
      </w:pPr>
      <w:r>
        <w:t xml:space="preserve">§ 1. Administrative Authority</w:t>
      </w:r>
    </w:p>
    <w:p>
      <w:r>
        <w:t xml:space="preserve">This Ordinance shall be interpreted, administered and enforced by the Director of Code Enforcement. The interpretation and application of the provisions of this Ordinance shall be held to be the minimum requirements adopted.</w:t>
      </w:r>
    </w:p>
    <w:p>
      <w:pPr>
        <w:pStyle w:val="ListParagraph"/>
        <w:numPr>
          <w:ilvl w:val="0"/>
          <w:numId w:val="1"/>
        </w:numPr>
      </w:pPr>
      <w:r>
        <w:t xml:space="preserve">(A)</w:t>
      </w:r>
      <w:r>
        <w:tab/>
      </w:r>
      <w:r>
        <w:t xml:space="preserve">For the purposes of the Worcester Zoning Ordinance, the Director of code Enforcement and the Building Commissioner shall be considered to be one and the same, with roles and responsibilities as described for both titles.</w:t>
      </w:r>
    </w:p>
    <w:p>
      <w:pPr>
        <w:pStyle w:val="Heading3"/>
      </w:pPr>
      <w:r>
        <w:t xml:space="preserve">§ 2. Building Permits</w:t>
      </w:r>
    </w:p>
    <w:p>
      <w:pPr>
        <w:pStyle w:val="ListParagraph"/>
        <w:numPr>
          <w:ilvl w:val="0"/>
          <w:numId w:val="1"/>
        </w:numPr>
      </w:pPr>
      <w:r>
        <w:t xml:space="preserve">A.</w:t>
      </w:r>
      <w:r>
        <w:tab/>
      </w:r>
      <w:r>
        <w:t xml:space="preserve">The Director of Code Enforcement shall withhold a permit for the construction, alteration or moving any building or structure if the building or structure as constructed, altered or moved would be in violation of this Ordinance or any amendment thereof. No permit or license shall be granted for a new use of a building, structure or land which would be in violation of this Ordinance. No permit or license shall be granted for use of a building, structure or land which requires site plan review unless such approval has been secured in accordance with Article V Site Plan Review.</w:t>
      </w:r>
    </w:p>
    <w:p>
      <w:pPr>
        <w:pStyle w:val="ListParagraph"/>
        <w:numPr>
          <w:ilvl w:val="0"/>
          <w:numId w:val="1"/>
        </w:numPr>
      </w:pPr>
      <w:r>
        <w:t xml:space="preserve">B.</w:t>
      </w:r>
      <w:r>
        <w:tab/>
      </w:r>
      <w:r>
        <w:t xml:space="preserve">All applications for building permits shall be accompanied by such plan or plans drawn to scale and showing the locations and dimensions of the lot to be built upon and such other information as may be deemed necessary by the Director of Code Enforcement to determine compliance with the provisions of this Ordinance. The Director of Code Enforcement shall promulgate regulations relative to this authority and shall file a copy of the regulations with the City Clerk.</w:t>
      </w:r>
    </w:p>
    <w:p>
      <w:pPr>
        <w:pStyle w:val="ListParagraph"/>
        <w:numPr>
          <w:ilvl w:val="0"/>
          <w:numId w:val="1"/>
        </w:numPr>
      </w:pPr>
      <w:r>
        <w:t xml:space="preserve">C.</w:t>
      </w:r>
      <w:r>
        <w:tab/>
      </w:r>
      <w:r>
        <w:t xml:space="preserve">Construction or operations under a building permit shall conform to any subsequent amendment(s) of this Ordinance unless the use or construction is commenced within a period of not more than six (6) months after the issuance of the building permit and unless such construction is continued through to completion as continuously and expeditiously as is reasonable.</w:t>
      </w:r>
    </w:p>
    <w:p>
      <w:pPr>
        <w:pStyle w:val="ListParagraph"/>
        <w:numPr>
          <w:ilvl w:val="0"/>
          <w:numId w:val="1"/>
        </w:numPr>
      </w:pPr>
      <w:r>
        <w:t xml:space="preserve">D.</w:t>
      </w:r>
      <w:r>
        <w:tab/>
      </w:r>
      <w:r>
        <w:t xml:space="preserve">In the determination of whether a private way qualifies as a STREET under clause (c) of the definition in Article I, the Director of Code Enforcement may require the building permit applicant to first obtain the Worcester Planning Board’s approval of the way pursuant to </w:t>
      </w:r>
      <w:r>
        <w:t xml:space="preserve">G. L. c. 41, §81G</w:t>
      </w:r>
      <w:r>
        <w:t xml:space="preserve">, if the Planning Board has not previously ruled thereon. The Planning Board’s decision in such matter shall be binding on the Director of Code Enforcement.</w:t>
      </w:r>
    </w:p>
    <w:p>
      <w:pPr>
        <w:pStyle w:val="Heading3"/>
      </w:pPr>
      <w:r>
        <w:t xml:space="preserve">§ 5. Zoning Coordination</w:t>
      </w:r>
    </w:p>
    <w:p>
      <w:r>
        <w:t xml:space="preserve">The zoning coordination function shall be performed by the Executive Office of the City Manager Planning &amp; Regulatory Services Division, or such other city agency or officer as may from time to time be designated in the Revised Ordinances, Part II, Organization of City Agencies. The zoning coordination function shall include such duties, responsibilities and powers as are herein provided, including serving as Keeper of the Records for the Zoning Board of Appeals and Planning Board for their respective functions under this Ordinance and amendments thereto, and such other duties as determined by the Zoning Board of Appeals.</w:t>
      </w:r>
    </w:p>
    <w:p>
      <w:pPr>
        <w:pStyle w:val="Heading3"/>
      </w:pPr>
      <w:r>
        <w:t xml:space="preserve">§ 6. Zoning Board of Appeals</w:t>
      </w:r>
    </w:p>
    <w:p>
      <w:r>
        <w:t xml:space="preserve">Establishment – References in this Ordinance to the Zoning Board of Appeals shall mean the agency of the City established under Article VI of the Home Rule Charter and codified in the “Organization of City Agencies” portion of the Revised Ordinances of 1996.</w:t>
      </w:r>
    </w:p>
    <w:p>
      <w:pPr>
        <w:pStyle w:val="ListParagraph"/>
        <w:numPr>
          <w:ilvl w:val="0"/>
          <w:numId w:val="1"/>
        </w:numPr>
      </w:pPr>
      <w:r>
        <w:t xml:space="preserve">A.</w:t>
      </w:r>
      <w:r>
        <w:tab/>
      </w:r>
      <w:r>
        <w:t xml:space="preserve">Duties of the ZBA – The ZBA is authorized to do the following:</w:t>
      </w:r>
    </w:p>
    <w:p>
      <w:pPr>
        <w:pStyle w:val="ListParagraph"/>
        <w:numPr>
          <w:ilvl w:val="1"/>
          <w:numId w:val="1"/>
        </w:numPr>
      </w:pPr>
      <w:r>
        <w:t xml:space="preserve">1.</w:t>
      </w:r>
      <w:r>
        <w:tab/>
      </w:r>
      <w:r>
        <w:t xml:space="preserve">Appeals The ZBA shall hear and decide appeals by (i) any person aggrieved by reason of their inability to obtain a permit or enforcement action from any administrative officer under the provisions of </w:t>
      </w:r>
      <w:r>
        <w:t xml:space="preserve">M.G.L. c. 40A</w:t>
      </w:r>
      <w:r>
        <w:t xml:space="preserve">, and this Ordinance, (ii) the Central</w:t>
      </w:r>
    </w:p>
    <w:p>
      <w:pPr>
        <w:ind w:left="1075"/>
      </w:pPr>
      <w:r>
        <w:t xml:space="preserve">Massachusetts Central Regional Planning Commission, (iii) any person, including an officer or board of the City or of an abutting city or town, aggrieved by an order or decision of the inspector of buildings, or other administrative official in violation of any provision of </w:t>
      </w:r>
      <w:r>
        <w:t xml:space="preserve">M.G.L. c.40A</w:t>
      </w:r>
      <w:r>
        <w:t xml:space="preserve"> or this Ordinance.</w:t>
      </w:r>
    </w:p>
    <w:p>
      <w:pPr>
        <w:pStyle w:val="ListParagraph"/>
        <w:numPr>
          <w:ilvl w:val="1"/>
          <w:numId w:val="1"/>
        </w:numPr>
      </w:pPr>
      <w:r>
        <w:t xml:space="preserve">2.</w:t>
      </w:r>
      <w:r>
        <w:tab/>
      </w:r>
      <w:r>
        <w:t xml:space="preserve">Special Permits Except for those special permits expressly assigned to the Planning Board in Article II, Section-7, The Zoning Board of Appeals shall be the Special Permit Granting Authority (SPGA) for all special permits. Criteria. Special permits shall be granted by the Special Permit Granting Authority, unless otherwise specified herein, only upon its written determination that the adverse effects of the proposed use will not outweigh its beneficial impacts to the city or the neighborhood. In addition to any specific factors that may be set forth in this Ordinance, the determination by the SPGA shall be made within the context of the characteristics of the site and its vicinity, and shall include consideration of each of the following:</w:t>
      </w:r>
    </w:p>
    <w:p>
      <w:pPr>
        <w:pStyle w:val="ListParagraph"/>
        <w:numPr>
          <w:ilvl w:val="2"/>
          <w:numId w:val="1"/>
        </w:numPr>
      </w:pPr>
      <w:r>
        <w:t xml:space="preserve">(a)</w:t>
      </w:r>
      <w:r>
        <w:tab/>
      </w:r>
      <w:r>
        <w:t xml:space="preserve">Social, economic, or community needs that are served by the proposal;</w:t>
      </w:r>
    </w:p>
    <w:p>
      <w:pPr>
        <w:pStyle w:val="ListParagraph"/>
        <w:numPr>
          <w:ilvl w:val="2"/>
          <w:numId w:val="1"/>
        </w:numPr>
      </w:pPr>
      <w:r>
        <w:t xml:space="preserve">(b)</w:t>
      </w:r>
      <w:r>
        <w:tab/>
      </w:r>
      <w:r>
        <w:t xml:space="preserve">Traffic flow and safety, including access, parking and loading areas;</w:t>
      </w:r>
    </w:p>
    <w:p>
      <w:pPr>
        <w:pStyle w:val="ListParagraph"/>
        <w:numPr>
          <w:ilvl w:val="2"/>
          <w:numId w:val="1"/>
        </w:numPr>
      </w:pPr>
      <w:r>
        <w:t xml:space="preserve">(c)</w:t>
      </w:r>
      <w:r>
        <w:tab/>
      </w:r>
      <w:r>
        <w:t xml:space="preserve">Adequacy of utilities and other public services;</w:t>
      </w:r>
    </w:p>
    <w:p>
      <w:pPr>
        <w:pStyle w:val="ListParagraph"/>
        <w:numPr>
          <w:ilvl w:val="2"/>
          <w:numId w:val="1"/>
        </w:numPr>
      </w:pPr>
      <w:r>
        <w:t xml:space="preserve">(d)</w:t>
      </w:r>
      <w:r>
        <w:tab/>
      </w:r>
      <w:r>
        <w:t xml:space="preserve">Neighborhood character and social structure;</w:t>
      </w:r>
    </w:p>
    <w:p>
      <w:pPr>
        <w:pStyle w:val="ListParagraph"/>
        <w:numPr>
          <w:ilvl w:val="2"/>
          <w:numId w:val="1"/>
        </w:numPr>
      </w:pPr>
      <w:r>
        <w:t xml:space="preserve">(e)</w:t>
      </w:r>
      <w:r>
        <w:tab/>
      </w:r>
      <w:r>
        <w:t xml:space="preserve">Impacts on the natural environment; and</w:t>
      </w:r>
    </w:p>
    <w:p>
      <w:pPr>
        <w:pStyle w:val="ListParagraph"/>
        <w:numPr>
          <w:ilvl w:val="2"/>
          <w:numId w:val="1"/>
        </w:numPr>
      </w:pPr>
      <w:r>
        <w:t xml:space="preserve">(f)</w:t>
      </w:r>
      <w:r>
        <w:tab/>
      </w:r>
      <w:r>
        <w:t xml:space="preserve">Potential fiscal impact, including city services needed, tax base, and employment. All such permits shall be subject to general or specific provisions, if any, set forth therein, and may contain conditions, safeguards and limitation of time or use. (See </w:t>
      </w:r>
      <w:r>
        <w:t xml:space="preserve">M.G.L. Ch. 40A, § 9</w:t>
      </w:r>
      <w:r>
        <w:t xml:space="preserve">)</w:t>
      </w:r>
    </w:p>
    <w:p>
      <w:pPr>
        <w:pStyle w:val="ListParagraph"/>
        <w:numPr>
          <w:ilvl w:val="1"/>
          <w:numId w:val="1"/>
        </w:numPr>
      </w:pPr>
      <w:r>
        <w:t xml:space="preserve">3.</w:t>
      </w:r>
      <w:r>
        <w:tab/>
      </w:r>
      <w:r>
        <w:t xml:space="preserve">Variances The ZBA, as Permit Granting Authority, may grant upon appeal or petition with respect to particular land or structures, a variance from the dimensional terms of this Ordinance. The ZBA may grant a variance only when all statutory requirements are met, including the following findings:</w:t>
      </w:r>
    </w:p>
    <w:p>
      <w:pPr>
        <w:pStyle w:val="ListParagraph"/>
        <w:numPr>
          <w:ilvl w:val="2"/>
          <w:numId w:val="1"/>
        </w:numPr>
      </w:pPr>
      <w:r>
        <w:t xml:space="preserve">a)</w:t>
      </w:r>
      <w:r>
        <w:tab/>
      </w:r>
      <w:r>
        <w:t xml:space="preserve">A literal enforcement of the provision of this Ordinance would involve a substantial hardship, financial or otherwise, to the petitioner or appellant.</w:t>
      </w:r>
    </w:p>
    <w:p>
      <w:pPr>
        <w:pStyle w:val="ListParagraph"/>
        <w:numPr>
          <w:ilvl w:val="2"/>
          <w:numId w:val="1"/>
        </w:numPr>
      </w:pPr>
      <w:r>
        <w:t xml:space="preserve">b)</w:t>
      </w:r>
      <w:r>
        <w:tab/>
      </w:r>
      <w:r>
        <w:t xml:space="preserve">The hardship is owing to circumstances relating to the soil conditions, shape and/or topography of such land or structures and especially affecting such land or structures but not affecting generally the zoning district in which it is located.</w:t>
      </w:r>
    </w:p>
    <w:p>
      <w:pPr>
        <w:pStyle w:val="ListParagraph"/>
        <w:numPr>
          <w:ilvl w:val="2"/>
          <w:numId w:val="1"/>
        </w:numPr>
      </w:pPr>
      <w:r>
        <w:t xml:space="preserve">c)</w:t>
      </w:r>
      <w:r>
        <w:tab/>
      </w:r>
      <w:r>
        <w:t xml:space="preserve">Desirable relief may be granted without substantial detriment to the public good and without nullifying or substantially derogating from the intent or purpose of this Ordinance.</w:t>
      </w:r>
    </w:p>
    <w:p>
      <w:pPr>
        <w:pStyle w:val="ListParagraph"/>
        <w:numPr>
          <w:ilvl w:val="2"/>
          <w:numId w:val="1"/>
        </w:numPr>
      </w:pPr>
      <w:r>
        <w:t xml:space="preserve">d)</w:t>
      </w:r>
      <w:r>
        <w:tab/>
      </w:r>
      <w:r>
        <w:t xml:space="preserve">The extent of the dimensional variance granted as it relates to floor space, bulk, number of occupants or other relevant measures shall be no greater than the minimum necessary to provide relief from the statutory hardship.</w:t>
      </w:r>
    </w:p>
    <w:p>
      <w:pPr>
        <w:pStyle w:val="ListParagraph"/>
        <w:numPr>
          <w:ilvl w:val="1"/>
          <w:numId w:val="1"/>
        </w:numPr>
      </w:pPr>
      <w:r>
        <w:t xml:space="preserve">4.</w:t>
      </w:r>
      <w:r>
        <w:tab/>
      </w:r>
      <w:r>
        <w:t xml:space="preserve">Pre-Existing Nonconforming Uses The ZBA, as Permit Granting Authority, may permit the alteration, extension or change of a pre-existing nonconforming use or structure pursuant to Article XV.</w:t>
      </w:r>
    </w:p>
    <w:p>
      <w:pPr>
        <w:pStyle w:val="ListParagraph"/>
        <w:numPr>
          <w:ilvl w:val="0"/>
          <w:numId w:val="1"/>
        </w:numPr>
      </w:pPr>
      <w:r>
        <w:t xml:space="preserve">B.</w:t>
      </w:r>
      <w:r>
        <w:tab/>
      </w:r>
      <w:r>
        <w:t xml:space="preserve">Filing of Appeals and Petitions to the ZBA</w:t>
      </w:r>
    </w:p>
    <w:p>
      <w:pPr>
        <w:pStyle w:val="ListParagraph"/>
        <w:numPr>
          <w:ilvl w:val="1"/>
          <w:numId w:val="1"/>
        </w:numPr>
      </w:pPr>
      <w:r>
        <w:t xml:space="preserve">1.</w:t>
      </w:r>
      <w:r>
        <w:tab/>
      </w:r>
      <w:r>
        <w:t xml:space="preserve">Appeals to the ZBA shall be taken within thirty (30) days from the date of the order or decision which is being appealed, by filing a notice of appeal (in as many copies as are required by the ZBA) specifying the grounds thereof, with the City Clerk and the Executive Office of the City Manager Planning &amp; Regulatory Division. The Planning &amp; Regulatory Division shall forthwith transmit copies thereof to such officer or board whose order or decision is being appealed, and to the ZBA. Such officer or board shall forthwith transmit to the ZBA all documents and papers constituting the record of the case in which the appeal is taken.</w:t>
      </w:r>
    </w:p>
    <w:p>
      <w:pPr>
        <w:pStyle w:val="ListParagraph"/>
        <w:numPr>
          <w:ilvl w:val="1"/>
          <w:numId w:val="1"/>
        </w:numPr>
      </w:pPr>
      <w:r>
        <w:t xml:space="preserve">2.</w:t>
      </w:r>
      <w:r>
        <w:tab/>
      </w:r>
      <w:r>
        <w:t xml:space="preserve">All appeals, applications, or petitions to the ZBA shall be in writing and in such form as prescribed by the ZBA. All applications, or petitions shall contain a written statement from the Director of Code Enforcement detailing why the petition or application is being filed, what sections of the Zoning Ordinance apply, and if a special permit and/or variance is required.</w:t>
      </w:r>
    </w:p>
    <w:p>
      <w:pPr>
        <w:pStyle w:val="ListParagraph"/>
        <w:numPr>
          <w:ilvl w:val="1"/>
          <w:numId w:val="1"/>
        </w:numPr>
      </w:pPr>
      <w:r>
        <w:t xml:space="preserve">3.</w:t>
      </w:r>
      <w:r>
        <w:tab/>
      </w:r>
      <w:r>
        <w:t xml:space="preserve">Upon receipt of any filed documents, the Planning &amp; Regulatory Division shall transmit seven (7) copies of each appeal, application or petition to the ZBA, one (1) copy to the Director of Code Enforcement, [Deletion] one (1) copy to the Director of Public Health, two (2) copies to the Department of Public Works &amp; Facilities: one (1) copy to the Engineering Services Division, and one (1) copy to the Parks and Recreation Division, one (1) copy to the Planning Board, one (1) copy to the Conservation Commission, not more than three (3) days after the date of filing for such appeal, application or petition.</w:t>
      </w:r>
    </w:p>
    <w:p>
      <w:pPr>
        <w:pStyle w:val="Heading2"/>
      </w:pPr>
      <w:r>
        <w:t xml:space="preserve">Article III. Zoning Districts</w:t>
      </w:r>
    </w:p>
    <w:p>
      <w:pPr>
        <w:pStyle w:val="Heading3"/>
      </w:pPr>
      <w:r>
        <w:t xml:space="preserve">§ 1. Districts</w:t>
      </w:r>
    </w:p>
    <w:p>
      <w:r>
        <w:t xml:space="preserve">For the purpose of this Ordinance the City of Worcester is hereby divided into the following districts. RESIDENCE DISTRICTS MINIMUM LOT SIZE RS-10: Residence, Single Family 10,000 square feet RS-7: Residence, Single Family 7,000 square feet RL-7: Residence, Limited 7,000 square feet RG-5: Residence, General 5,000 square feet BUSINESS DISTRICTS FLOOR AREA RATIOS (Building/land) BO-1.0: Business, Office 1 square foot/ 1 square foot BO-2.0: Business, Office 2 square feet/ 1 square foot BL-1.0: Business Limited 1 square foot/ 1 square foot BG-2.0: Business, General 2 square feet/ 1 square foot BG-3.0: Business, General 3 square feet/ 1 square foot BG-4.0: Business, General 4 square feet/ 1 square foot BG-6.0: Business, General 6 square feet/ 1 square foot INDUSTRIAL PARK DISTRICTS IP-0.33: Light Industrial 1 square foot/ 3 square feet MANUFACTURING DISTRICTS ML-0.5: Manufacturing, Limited 1 square foot/ 2 square feet ML-1.0: Manufacturing, Limited 1 square foot/ 1 square foot ML-2.0: Manufacturing, Limited 2 square feet/ 1 square foot MG-0.5: Manufacturing, General 1 square foot/ 2 square feet MG-1.0: Manufacturing, General 1 square foot/ 1 square foot MG-2.0: Manufacturing, General 2 square feet/ 1 square foot INSTITUTIONAL DISTRICTS IN-S: Institutional, Educational IN-H: Institutional, Medical AIRPORT DISTRICT A-1: Airport OPEN SPACE ZONES OS-P: Parks OS-C: Conservation Areas OVERLAY DISTRICTS Overlay districts, as are provided for in other Articles of this Ordinance, are as follows: FP: Floodplain AE: Airport Environs WR: Water Resources Protection AROD: Adaptive Re-use Overlay District DSPD: Downtown/Blackstone Canal Sign Overlay District BSOD: Blackstone River Parkway Sign Overlay District USOD: Union Station View Corridor Sign Overlay District CCOD: Commercial Corridors Overlay District</w:t>
      </w:r>
    </w:p>
    <w:p>
      <w:pPr>
        <w:pStyle w:val="Heading3"/>
      </w:pPr>
      <w:r>
        <w:t xml:space="preserve">§ 2. Zoning Map</w:t>
      </w:r>
    </w:p>
    <w:p>
      <w:r>
        <w:t xml:space="preserve">The zoning districts are hereby established as shown on the Geographic Information System (GIS) map entitled “The Zoning Map of the City of Worcester,” dated February 6, 2007, and amendments thereto, which map, with all explanatory matter thereon and including amendments thereto, shall be deemed to be and is hereby made a part of this Ordinance.</w:t>
      </w:r>
    </w:p>
    <w:p>
      <w:pPr>
        <w:pStyle w:val="Heading3"/>
      </w:pPr>
      <w:r>
        <w:t xml:space="preserve">§ 3. Interpretation</w:t>
      </w:r>
    </w:p>
    <w:p>
      <w:pPr>
        <w:pStyle w:val="ListParagraph"/>
        <w:numPr>
          <w:ilvl w:val="0"/>
          <w:numId w:val="1"/>
        </w:numPr>
      </w:pPr>
      <w:r>
        <w:t xml:space="preserve">A.</w:t>
      </w:r>
      <w:r>
        <w:tab/>
      </w:r>
      <w:r>
        <w:t xml:space="preserve">Where the Zoning Map is not clear, the following priorities and interpretations shall control:</w:t>
      </w:r>
    </w:p>
    <w:p>
      <w:pPr>
        <w:pStyle w:val="ListParagraph"/>
        <w:numPr>
          <w:ilvl w:val="1"/>
          <w:numId w:val="1"/>
        </w:numPr>
      </w:pPr>
      <w:r>
        <w:t xml:space="preserve">1.</w:t>
      </w:r>
      <w:r>
        <w:tab/>
      </w:r>
      <w:r>
        <w:t xml:space="preserve">Where the district boundary is indicated as a street, it is the center line of the Street, provided however, that the depth of the district shall be measured from the right of way line of the street that existed at the time the district was created.</w:t>
      </w:r>
    </w:p>
    <w:p>
      <w:pPr>
        <w:pStyle w:val="ListParagraph"/>
        <w:numPr>
          <w:ilvl w:val="1"/>
          <w:numId w:val="1"/>
        </w:numPr>
      </w:pPr>
      <w:r>
        <w:t xml:space="preserve">2.</w:t>
      </w:r>
      <w:r>
        <w:tab/>
      </w:r>
      <w:r>
        <w:t xml:space="preserve">Where the district boundary is indicated as a watercourse it is the centerline of the watercourse.</w:t>
      </w:r>
    </w:p>
    <w:p>
      <w:pPr>
        <w:pStyle w:val="ListParagraph"/>
        <w:numPr>
          <w:ilvl w:val="1"/>
          <w:numId w:val="1"/>
        </w:numPr>
      </w:pPr>
      <w:r>
        <w:t xml:space="preserve">3.</w:t>
      </w:r>
      <w:r>
        <w:tab/>
      </w:r>
      <w:r>
        <w:t xml:space="preserve">Where a district boundary line divides a lot or crosses un-subdivided property, the origin and length of such boundary shall be determined by the Director of Code Enforcement utilizing the Geographic Information System (GIS) Map.</w:t>
      </w:r>
    </w:p>
    <w:p>
      <w:pPr>
        <w:pStyle w:val="ListParagraph"/>
        <w:numPr>
          <w:ilvl w:val="1"/>
          <w:numId w:val="1"/>
        </w:numPr>
      </w:pPr>
      <w:r>
        <w:t xml:space="preserve">4.</w:t>
      </w:r>
      <w:r>
        <w:tab/>
      </w:r>
      <w:r>
        <w:t xml:space="preserve">The Zoning Map shall be considered accurate to the nearest foot.</w:t>
      </w:r>
    </w:p>
    <w:p>
      <w:pPr>
        <w:pStyle w:val="ListParagraph"/>
        <w:numPr>
          <w:ilvl w:val="1"/>
          <w:numId w:val="1"/>
        </w:numPr>
      </w:pPr>
      <w:r>
        <w:t xml:space="preserve">5.</w:t>
      </w:r>
      <w:r>
        <w:tab/>
      </w:r>
      <w:r>
        <w:t xml:space="preserve">If district or boundary’s accuracy is challenged, or the Zoning Map thought to be in error, then the language of the City Council Ordinance, or any amendments thereto, shall hold.</w:t>
      </w:r>
    </w:p>
    <w:p>
      <w:pPr>
        <w:pStyle w:val="Heading2"/>
      </w:pPr>
      <w:r>
        <w:t xml:space="preserve">Article IV. Use Regulations</w:t>
      </w:r>
    </w:p>
    <w:p>
      <w:pPr>
        <w:pStyle w:val="Heading3"/>
      </w:pPr>
      <w:r>
        <w:t xml:space="preserve">§ 13. Wind Energy Conversion Facilities</w:t>
      </w:r>
    </w:p>
    <w:p>
      <w:pPr>
        <w:pStyle w:val="ListParagraph"/>
        <w:numPr>
          <w:ilvl w:val="0"/>
          <w:numId w:val="1"/>
        </w:numPr>
      </w:pPr>
      <w:r>
        <w:t xml:space="preserve">A.</w:t>
      </w:r>
      <w:r>
        <w:tab/>
      </w:r>
      <w:r>
        <w:t xml:space="preserve">Purpose and Intent The purpose of this Section is to provide for the construction and operation of Wind Energy Conversion Facilities (WECF) in the city of Worcester, and to provide standards for the placement, design, installation, modification, monitoring and decommissioning of these facilities subject to reasonable conditions that will protect the public health, safety and welfare while providing for the production of clean, renewable energy.</w:t>
      </w:r>
    </w:p>
    <w:p>
      <w:pPr>
        <w:pStyle w:val="ListParagraph"/>
        <w:numPr>
          <w:ilvl w:val="0"/>
          <w:numId w:val="1"/>
        </w:numPr>
      </w:pPr>
      <w:r>
        <w:t xml:space="preserve">B.</w:t>
      </w:r>
      <w:r>
        <w:tab/>
      </w:r>
      <w:r>
        <w:t xml:space="preserve">Administration Special Permit Granting Authority (SPGA) shall be the Planning Board.</w:t>
      </w:r>
    </w:p>
    <w:p>
      <w:pPr>
        <w:pStyle w:val="ListParagraph"/>
        <w:numPr>
          <w:ilvl w:val="0"/>
          <w:numId w:val="1"/>
        </w:numPr>
      </w:pPr>
      <w:r>
        <w:t xml:space="preserve">C.</w:t>
      </w:r>
      <w:r>
        <w:tab/>
      </w:r>
      <w:r>
        <w:t xml:space="preserve">Definitions APPLICANT: the person or entity filing an application under this Section. AMBIENT SOUND LEVEL: the background A-weighted sound level that is exceeded 90% of the time. A-WEIGHTED SOUND LEVEL - dB(A): a measurement of sound pressure level, which has been filtered or weighted to progressively de-emphasize the importance of frequency components below 1,000 Hz and above 5,000 Hz. This range corresponds to the human speech band and reflects that human hearing is more sensitive to the mid-range frequencies within this range than the frequencies below and above this range. DECIBEL (dB): the measurement of a sound pressure relative to the logarithmic conversion of the sound pressure reference level – often set as 0 dB(A). In general, this means the quietest sound humans can hear is near 0 dB(A) and the loudest humans can hear without pain is near 120 dB(A). Most sounds range from 30 to 100 dB(A). Normal speech at 3 feet averages about 65 dB(A). eCO2: Carbon Dioxide Equivalent: Emissions of greenhouse gases are typically expressed in a common metric, so that their impacts can be directly compared, as some gases are more potent (have a higher global warming potential or GWP) than others. The international standard practice is to express greenhouse gases in carbon dioxide (CO ) equivalents. Emissions of gases other than CO are translated into CO 2 2 2 equivalents using global warming potentials according to the following schedule, as amended by the United States Department of Environmental Protection: GWP Carbon dioxide (CO ) 1 Methane (CH ) 21 Nitrous oxide (N O) 310 Hydrofluorocarbon (HFC)-134a 1,300 (used in mobile source air conditioning) FACILITY OWNER: the entity or entities having an equity interest in the wind energy conversion facility, including their respective successors and assigns. HUB HEIGHT: the distance measured from the base of the tower foundation at grade to the height of the wind turbine hub, to which the blade is attached. METEOROLOGICAL TOWER (MET): a facility consisting of a tower and related wind-measuring devices that is solely used to measure the characteristics of winds. NACELLE: the enclosure located at the top of a wind turbine tower that houses the gearbox, generator and other equipment. PARTICIPATING LANDOWNER: a landowner on whose property all or a portion of a WECF is located. OCCUPIED BUILDING: a church, hospital, library, residence, school, or other building used for public gathering that is occupied or in use when the permit application is submitted. Accessory structures and businesses are not considered occupied buildings. OPERATOR: the entity responsible for the day-to-day operation and maintenance of the wind energy conversion facility. OVERSPEED CONTROL: the action of a control system, or part of such system, that prevents excessive rotor speed. ROTOR: the rotating part of a wind turbine, including turbine blades. ROTOR DIAMETER: for propeller-blade design WECF, the diameter of the circle swept by the furthest outreaching part of the rotor blades; for vertical-axis WECF, the diameter of the cross sectional circle encompassing the furthest outreaching part of the rotating parts of the WECF. SHADOW FLICKER: the moving shadows cast by rotating wind turbine blades that cause a flickering effect. STALL CONTROL: a braking mechanism on wind turbines where the rotor blades are bolted onto the hub at a fixed angle. The rotor blade profile is aerodynamically designed to ensure that the moment wind speed becomes too high it creates turbulence on the side of the rotor blade which is not facing the wind. This “stall” prevents the lifting force of the rotor blade from acting on the rotor. TOWER: with regard to WECF, the structure on which a wind turbine is mounted. TURBINE: an electric generator that converts wind energy into electrical power - see wind turbine. TURBINE HEIGHT: the distance measured from the surface of the tower foundation to the highest point of the turbine rotor plane (tip of blade at highest point). WECF: see Wind Energy Conversion Facility. WIND ENERGY CONVERSION FACILITY (WECF), LARGE OR SMALL: an electricity generating facility whose main purpose is to supply electricity, consisting of one or more wind turbines and other accessory structures and buildings, including substations, meteorological towers, electrical infrastructure, transmission lines and other appurtenant structures and facilities. WIND ENERGY CONVERSION FACILITY (WECF), LARGE: A WECF with a Rotor Diameter greater than twenty (20) feet. WIND ENERGY CONVERSION FACILITY (WECF), SMALL: A WECF with a Rotor Diameter equal to or less than twenty (20) feet. WIND ENERGY CONVERSION SYSTEM: see the definition for wind turbine. WIND TURBINE: a wind energy conversion system, including but not limited to propeller-shaped blade and vertical-axis design facilities, that converts wind energy into electricity through the use of a turbine, and includes the nacelle, rotor, tower, and pad transformer, if any.</w:t>
      </w:r>
    </w:p>
    <w:p>
      <w:pPr>
        <w:pStyle w:val="ListParagraph"/>
        <w:numPr>
          <w:ilvl w:val="0"/>
          <w:numId w:val="1"/>
        </w:numPr>
      </w:pPr>
      <w:r>
        <w:t xml:space="preserve">D.</w:t>
      </w:r>
      <w:r>
        <w:tab/>
      </w:r>
      <w:r>
        <w:t xml:space="preserve">Use Regulations Wind Energy Conversion Facilities (WECF) and Meteorological Towers (METs) shall be permitted in accordance with Article IV-Section 2, Table 4.1 subject to the provisions of this Section 13.</w:t>
      </w:r>
    </w:p>
    <w:p>
      <w:pPr>
        <w:pStyle w:val="ListParagraph"/>
        <w:numPr>
          <w:ilvl w:val="1"/>
          <w:numId w:val="1"/>
        </w:numPr>
      </w:pPr>
      <w:r>
        <w:t xml:space="preserve">1)</w:t>
      </w:r>
      <w:r>
        <w:tab/>
      </w:r>
      <w:r>
        <w:t xml:space="preserve">No WECF requiring guy wires for support shall be permitted.</w:t>
      </w:r>
    </w:p>
    <w:p>
      <w:pPr>
        <w:pStyle w:val="ListParagraph"/>
        <w:numPr>
          <w:ilvl w:val="1"/>
          <w:numId w:val="1"/>
        </w:numPr>
      </w:pPr>
      <w:r>
        <w:t xml:space="preserve">2)</w:t>
      </w:r>
      <w:r>
        <w:tab/>
      </w:r>
      <w:r>
        <w:t xml:space="preserve">No WECF with a rotor diameter in excess of one hundred sixty-five (165’) feet shall be permitted.</w:t>
      </w:r>
    </w:p>
    <w:p>
      <w:pPr>
        <w:pStyle w:val="ListParagraph"/>
        <w:numPr>
          <w:ilvl w:val="1"/>
          <w:numId w:val="1"/>
        </w:numPr>
      </w:pPr>
      <w:r>
        <w:t xml:space="preserve">3)</w:t>
      </w:r>
      <w:r>
        <w:tab/>
      </w:r>
      <w:r>
        <w:t xml:space="preserve">Multiple wind turbines are allowed on a single parcel only if the WECF as a whole, and each wind turbine within it, complies with the provisions of subsections E, F, G and H governing sound and shadow flicker respectfully.</w:t>
      </w:r>
    </w:p>
    <w:p>
      <w:pPr>
        <w:pStyle w:val="ListParagraph"/>
        <w:numPr>
          <w:ilvl w:val="1"/>
          <w:numId w:val="1"/>
        </w:numPr>
      </w:pPr>
      <w:r>
        <w:t xml:space="preserve">4)</w:t>
      </w:r>
      <w:r>
        <w:tab/>
      </w:r>
      <w:r>
        <w:t xml:space="preserve">No WECF shall be erected until evidence has been provided that the electric utility company has been informed of the applicant’s intent to install an interconnected customer-owned generator. Off-grid systems shall be exempt from this requirement.</w:t>
      </w:r>
    </w:p>
    <w:p>
      <w:pPr>
        <w:pStyle w:val="ListParagraph"/>
        <w:numPr>
          <w:ilvl w:val="1"/>
          <w:numId w:val="1"/>
        </w:numPr>
      </w:pPr>
      <w:r>
        <w:t xml:space="preserve">5)</w:t>
      </w:r>
      <w:r>
        <w:tab/>
      </w:r>
      <w:r>
        <w:t xml:space="preserve">An applicant who is not a participating landowner shall submit an executed lease or purchase and sale agreement, or power purchase agreement, documenting the applicant’s contingent property interest and legal right to install, operate and maintain the WECF and MET on the affected property(ies).</w:t>
      </w:r>
    </w:p>
    <w:p>
      <w:pPr>
        <w:pStyle w:val="ListParagraph"/>
        <w:numPr>
          <w:ilvl w:val="1"/>
          <w:numId w:val="1"/>
        </w:numPr>
      </w:pPr>
      <w:r>
        <w:t xml:space="preserve">6)</w:t>
      </w:r>
      <w:r>
        <w:tab/>
      </w:r>
      <w:r>
        <w:t xml:space="preserve">To the extent that the foundation of a WECF affects the dimensions or the number, or both, of required off-street parking spaces, said parking requirement shall be reduced by the number of spaces directly affected for the purposes of calculating minimum parking requirements.</w:t>
      </w:r>
    </w:p>
    <w:p>
      <w:pPr>
        <w:pStyle w:val="ListParagraph"/>
        <w:numPr>
          <w:ilvl w:val="1"/>
          <w:numId w:val="1"/>
        </w:numPr>
      </w:pPr>
      <w:r>
        <w:t xml:space="preserve">7)</w:t>
      </w:r>
      <w:r>
        <w:tab/>
      </w:r>
      <w:r>
        <w:t xml:space="preserve">Meteorological towers (MET): Provided that it does not exceed the height recommended by the manufacturer of the meteorological tower and equipment:</w:t>
      </w:r>
    </w:p>
    <w:p>
      <w:pPr>
        <w:pStyle w:val="ListParagraph"/>
        <w:numPr>
          <w:ilvl w:val="2"/>
          <w:numId w:val="1"/>
        </w:numPr>
      </w:pPr>
      <w:r>
        <w:t xml:space="preserve">a)</w:t>
      </w:r>
      <w:r>
        <w:tab/>
      </w:r>
      <w:r>
        <w:t xml:space="preserve">Guy wires are permitted for temporary METs only.</w:t>
      </w:r>
    </w:p>
    <w:p>
      <w:pPr>
        <w:pStyle w:val="ListParagraph"/>
        <w:numPr>
          <w:ilvl w:val="2"/>
          <w:numId w:val="1"/>
        </w:numPr>
      </w:pPr>
      <w:r>
        <w:t xml:space="preserve">b)</w:t>
      </w:r>
      <w:r>
        <w:tab/>
      </w:r>
      <w:r>
        <w:t xml:space="preserve">All special permits related to METs shall be issued pursuant to the criteria set forth in Article II.</w:t>
      </w:r>
    </w:p>
    <w:p>
      <w:pPr>
        <w:pStyle w:val="ListParagraph"/>
        <w:numPr>
          <w:ilvl w:val="2"/>
          <w:numId w:val="1"/>
        </w:numPr>
      </w:pPr>
      <w:r>
        <w:t xml:space="preserve">c)</w:t>
      </w:r>
      <w:r>
        <w:tab/>
      </w:r>
      <w:r>
        <w:t xml:space="preserve">Term:</w:t>
      </w:r>
    </w:p>
    <w:p>
      <w:pPr>
        <w:pStyle w:val="ListParagraph"/>
        <w:numPr>
          <w:ilvl w:val="2"/>
          <w:numId w:val="1"/>
        </w:numPr>
      </w:pPr>
      <w:r>
        <w:t xml:space="preserve">i)</w:t>
      </w:r>
      <w:r>
        <w:tab/>
      </w:r>
      <w:r>
        <w:t xml:space="preserve">METs may be erected for a period not to exceed twenty-seven months. A longer period may be considered by the Director of Code Enforcement or the SPGA, for by-right and specially permitted METs respectively.</w:t>
      </w:r>
    </w:p>
    <w:p>
      <w:pPr>
        <w:pStyle w:val="ListParagraph"/>
        <w:numPr>
          <w:ilvl w:val="3"/>
          <w:numId w:val="1"/>
        </w:numPr>
      </w:pPr>
      <w:r>
        <w:t xml:space="preserve">ii)</w:t>
      </w:r>
      <w:r>
        <w:tab/>
      </w:r>
      <w:r>
        <w:t xml:space="preserve">Permanent METs are permitted regardless of height only in association with</w:t>
      </w:r>
    </w:p>
    <w:p>
      <w:pPr>
        <w:ind w:left="2055"/>
      </w:pPr>
      <w:r>
        <w:t xml:space="preserve">and accessory to a permitted WECF provided that said MET does not have guy wires.</w:t>
      </w:r>
    </w:p>
    <w:p>
      <w:pPr>
        <w:pStyle w:val="ListParagraph"/>
        <w:numPr>
          <w:ilvl w:val="2"/>
          <w:numId w:val="1"/>
        </w:numPr>
      </w:pPr>
      <w:r>
        <w:t xml:space="preserve">d)</w:t>
      </w:r>
      <w:r>
        <w:tab/>
      </w:r>
      <w:r>
        <w:t xml:space="preserve">Setbacks:</w:t>
      </w:r>
    </w:p>
    <w:p>
      <w:pPr>
        <w:pStyle w:val="ListParagraph"/>
        <w:numPr>
          <w:ilvl w:val="2"/>
          <w:numId w:val="1"/>
        </w:numPr>
      </w:pPr>
      <w:r>
        <w:t xml:space="preserve">i)</w:t>
      </w:r>
      <w:r>
        <w:tab/>
      </w:r>
      <w:r>
        <w:t xml:space="preserve">METs eighty-five (85) feet or less shall be subject to regulations regarding setbacks for Small WECFs with the exception that guy wires, if any, shall be setback at least (10) ten feet from a property line.</w:t>
      </w:r>
    </w:p>
    <w:p>
      <w:pPr>
        <w:pStyle w:val="ListParagraph"/>
        <w:numPr>
          <w:ilvl w:val="3"/>
          <w:numId w:val="1"/>
        </w:numPr>
      </w:pPr>
      <w:r>
        <w:t xml:space="preserve">ii)</w:t>
      </w:r>
      <w:r>
        <w:tab/>
      </w:r>
      <w:r>
        <w:t xml:space="preserve">METs more than eighty-five (85) feet in height shall be subject to regulations regarding setbacks for Large WECFs with the exception that guy wires, if any, shall be setback at least twenty (20) feet from a property line.</w:t>
      </w:r>
    </w:p>
    <w:p>
      <w:pPr>
        <w:pStyle w:val="ListParagraph"/>
        <w:numPr>
          <w:ilvl w:val="0"/>
          <w:numId w:val="1"/>
        </w:numPr>
      </w:pPr>
      <w:r>
        <w:t xml:space="preserve">E.</w:t>
      </w:r>
      <w:r>
        <w:tab/>
      </w:r>
      <w:r>
        <w:t xml:space="preserve">Dimensional Requirements</w:t>
      </w:r>
    </w:p>
    <w:p>
      <w:pPr>
        <w:pStyle w:val="ListParagraph"/>
        <w:numPr>
          <w:ilvl w:val="1"/>
          <w:numId w:val="1"/>
        </w:numPr>
      </w:pPr>
      <w:r>
        <w:t xml:space="preserve">1.</w:t>
      </w:r>
      <w:r>
        <w:tab/>
      </w:r>
      <w:r>
        <w:t xml:space="preserve">Large WECFs. Notwithstanding anything to the contrary in Article IV-Section 4, Table 4.2, Large WECFs shall comply with the following requirements:</w:t>
      </w:r>
    </w:p>
    <w:p>
      <w:pPr>
        <w:pStyle w:val="ListParagraph"/>
        <w:numPr>
          <w:ilvl w:val="2"/>
          <w:numId w:val="1"/>
        </w:numPr>
      </w:pPr>
      <w:r>
        <w:t xml:space="preserve">a)</w:t>
      </w:r>
      <w:r>
        <w:tab/>
      </w:r>
      <w:r>
        <w:t xml:space="preserve">Height</w:t>
      </w:r>
    </w:p>
    <w:p>
      <w:pPr>
        <w:pStyle w:val="ListParagraph"/>
        <w:numPr>
          <w:ilvl w:val="2"/>
          <w:numId w:val="1"/>
        </w:numPr>
      </w:pPr>
      <w:r>
        <w:t xml:space="preserve">i)</w:t>
      </w:r>
      <w:r>
        <w:tab/>
      </w:r>
      <w:r>
        <w:t xml:space="preserve">Turbine height shall not exceed the height recommended by the manufacturer of the wind turbine and tower, or both, or two hundred and sixty-five (265) feet, whichever is less.</w:t>
      </w:r>
    </w:p>
    <w:p>
      <w:pPr>
        <w:pStyle w:val="ListParagraph"/>
        <w:numPr>
          <w:ilvl w:val="3"/>
          <w:numId w:val="1"/>
        </w:numPr>
      </w:pPr>
      <w:r>
        <w:t xml:space="preserve">ii)</w:t>
      </w:r>
      <w:r>
        <w:tab/>
      </w:r>
      <w:r>
        <w:t xml:space="preserve">The minimum distance between the ground and any part of a rotor, or turbine blade, shall be thirty (30) feet.</w:t>
      </w:r>
    </w:p>
    <w:p>
      <w:pPr>
        <w:pStyle w:val="ListParagraph"/>
        <w:numPr>
          <w:ilvl w:val="2"/>
          <w:numId w:val="1"/>
        </w:numPr>
      </w:pPr>
      <w:r>
        <w:t xml:space="preserve">b)</w:t>
      </w:r>
      <w:r>
        <w:tab/>
      </w:r>
      <w:r>
        <w:t xml:space="preserve">Setbacks</w:t>
      </w:r>
    </w:p>
    <w:p>
      <w:pPr>
        <w:pStyle w:val="ListParagraph"/>
        <w:numPr>
          <w:ilvl w:val="2"/>
          <w:numId w:val="1"/>
        </w:numPr>
      </w:pPr>
      <w:r>
        <w:t xml:space="preserve">i)</w:t>
      </w:r>
      <w:r>
        <w:tab/>
      </w:r>
      <w:r>
        <w:t xml:space="preserve">Wind turbines shall be set back: (aa) a distance not less than six hundred and fifty (650) feet from the nearest non-participating landowner’s occupied building. This setback distance shall be measured from the center of the wind turbine tower at its base to the nearest point on the foundation of a non-participating landowner’s occupied building. (bb) a distance not less than one-hundred and sixty-five (165) feet or 1.25 times the turbine height, whichever is greater, from the nearest participating landowner’s occupied building. This setback distance shall be measured from the center of the wind turbine tower foundation to the nearest point on the foundation of a participating landowner’s occupied building. (cc) a distance not less than 1.1 times the turbine height from the nearest wind turbine, right-of-way line of the nearest public way, property line, or existing above ground utility transmission line(s).</w:t>
      </w:r>
    </w:p>
    <w:p>
      <w:pPr>
        <w:pStyle w:val="ListParagraph"/>
        <w:numPr>
          <w:ilvl w:val="1"/>
          <w:numId w:val="1"/>
        </w:numPr>
      </w:pPr>
      <w:r>
        <w:t xml:space="preserve">2.</w:t>
      </w:r>
      <w:r>
        <w:tab/>
      </w:r>
      <w:r>
        <w:t xml:space="preserve">Small WECF. Notwithstanding anything to the contrary in Article IV-Section 4, Table 4.2, Small WECFs shall comply with the following requirements:</w:t>
      </w:r>
    </w:p>
    <w:p>
      <w:pPr>
        <w:pStyle w:val="ListParagraph"/>
        <w:numPr>
          <w:ilvl w:val="2"/>
          <w:numId w:val="1"/>
        </w:numPr>
      </w:pPr>
      <w:r>
        <w:t xml:space="preserve">a)</w:t>
      </w:r>
      <w:r>
        <w:tab/>
      </w:r>
      <w:r>
        <w:t xml:space="preserve">Height</w:t>
      </w:r>
    </w:p>
    <w:p>
      <w:pPr>
        <w:pStyle w:val="ListParagraph"/>
        <w:numPr>
          <w:ilvl w:val="2"/>
          <w:numId w:val="1"/>
        </w:numPr>
      </w:pPr>
      <w:r>
        <w:t xml:space="preserve">i)</w:t>
      </w:r>
      <w:r>
        <w:tab/>
      </w:r>
      <w:r>
        <w:t xml:space="preserve">Turbine height shall not exceed the height recommended by the manufacturer of the wind turbine and tower, or both, or ninety-five (95) feet, whichever is less.</w:t>
      </w:r>
    </w:p>
    <w:p>
      <w:pPr>
        <w:pStyle w:val="ListParagraph"/>
        <w:numPr>
          <w:ilvl w:val="3"/>
          <w:numId w:val="1"/>
        </w:numPr>
      </w:pPr>
      <w:r>
        <w:t xml:space="preserve">ii)</w:t>
      </w:r>
      <w:r>
        <w:tab/>
      </w:r>
      <w:r>
        <w:t xml:space="preserve">The minimum distance between the ground and any part of a rotor, or turbine blade at its lowest position, shall be twenty (20) feet.</w:t>
      </w:r>
    </w:p>
    <w:p>
      <w:pPr>
        <w:pStyle w:val="ListParagraph"/>
        <w:numPr>
          <w:ilvl w:val="2"/>
          <w:numId w:val="1"/>
        </w:numPr>
      </w:pPr>
      <w:r>
        <w:t xml:space="preserve">b)</w:t>
      </w:r>
      <w:r>
        <w:tab/>
      </w:r>
      <w:r>
        <w:t xml:space="preserve">Setbacks</w:t>
      </w:r>
    </w:p>
    <w:p>
      <w:pPr>
        <w:pStyle w:val="ListParagraph"/>
        <w:numPr>
          <w:ilvl w:val="2"/>
          <w:numId w:val="1"/>
        </w:numPr>
      </w:pPr>
      <w:r>
        <w:t xml:space="preserve">i)</w:t>
      </w:r>
      <w:r>
        <w:tab/>
      </w:r>
      <w:r>
        <w:t xml:space="preserve">Wind turbines shall be setback a distance not less than one-hundred and sixty-five (165) feet from the nearest non-participating landowner’s occupied building. This setback distance shall be measured from the center of the wind turbine tower at its base to the nearest point on the foundation of a non-participating landowner’s occupied building.</w:t>
      </w:r>
    </w:p>
    <w:p>
      <w:pPr>
        <w:pStyle w:val="ListParagraph"/>
        <w:numPr>
          <w:ilvl w:val="3"/>
          <w:numId w:val="1"/>
        </w:numPr>
      </w:pPr>
      <w:r>
        <w:t xml:space="preserve">ii)</w:t>
      </w:r>
      <w:r>
        <w:tab/>
      </w:r>
      <w:r>
        <w:t xml:space="preserve">Wind turbines shall be setback a distance not less than 1.1 times the turbine height from the nearest wind turbine, abutting property owner’s property line, or existing above ground utility transmission line(s).</w:t>
      </w:r>
    </w:p>
    <w:p>
      <w:pPr>
        <w:pStyle w:val="ListParagraph"/>
        <w:numPr>
          <w:ilvl w:val="0"/>
          <w:numId w:val="1"/>
        </w:numPr>
      </w:pPr>
      <w:r>
        <w:t xml:space="preserve">F.</w:t>
      </w:r>
      <w:r>
        <w:tab/>
      </w:r>
      <w:r>
        <w:t xml:space="preserve">Sound</w:t>
      </w:r>
    </w:p>
    <w:p>
      <w:pPr>
        <w:pStyle w:val="ListParagraph"/>
        <w:numPr>
          <w:ilvl w:val="1"/>
          <w:numId w:val="1"/>
        </w:numPr>
      </w:pPr>
      <w:r>
        <w:t xml:space="preserve">1.</w:t>
      </w:r>
      <w:r>
        <w:tab/>
      </w:r>
      <w:r>
        <w:t xml:space="preserve">All WECFs shall comply with the provisions of the Department of Environmental Protection’s Division of Air Quality Noise Regulations (310 CMR 7.10) and associated policies.</w:t>
      </w:r>
    </w:p>
    <w:p>
      <w:pPr>
        <w:pStyle w:val="ListParagraph"/>
        <w:numPr>
          <w:ilvl w:val="1"/>
          <w:numId w:val="1"/>
        </w:numPr>
      </w:pPr>
      <w:r>
        <w:t xml:space="preserve">2.</w:t>
      </w:r>
      <w:r>
        <w:tab/>
      </w:r>
      <w:r>
        <w:t xml:space="preserve">For all WECFs allowed by Special Permit in Table 4.1: Audible sound generated by a WECF shall not exceed fifty-five (55) dB(A), as measured at the exterior of any non- participating landowner’s occupied building except during short-term events such as utility outages and/or uncharacteristically windy periods.</w:t>
      </w:r>
    </w:p>
    <w:p>
      <w:pPr>
        <w:pStyle w:val="ListParagraph"/>
        <w:numPr>
          <w:ilvl w:val="1"/>
          <w:numId w:val="1"/>
        </w:numPr>
      </w:pPr>
      <w:r>
        <w:t xml:space="preserve">3.</w:t>
      </w:r>
      <w:r>
        <w:tab/>
      </w:r>
      <w:r>
        <w:t xml:space="preserve">Notwithstanding anything to the contrary within this Section, for Small WECFs listed as of right in Table 4.1 and within 650 feet of the nearest non-participating landowner’s occupied building located within a residential district: Audible sound generated by a WECF shall not exceed fifty-five (55) dB(A), as measured at the exterior of any non- participating landowner’s occupied building, located in a residential district, except during short-term events such as utility outages and/or uncharacteristically windy periods.</w:t>
      </w:r>
    </w:p>
    <w:p>
      <w:pPr>
        <w:pStyle w:val="ListParagraph"/>
        <w:numPr>
          <w:ilvl w:val="0"/>
          <w:numId w:val="1"/>
        </w:numPr>
      </w:pPr>
      <w:r>
        <w:t xml:space="preserve">G.</w:t>
      </w:r>
      <w:r>
        <w:tab/>
      </w:r>
      <w:r>
        <w:t xml:space="preserve">Shadow Flicker The facility owner and operator shall make reasonable efforts to minimize shadow flicker to any occupied building on a non-participating landowner’s property.</w:t>
      </w:r>
    </w:p>
    <w:p>
      <w:pPr>
        <w:pStyle w:val="ListParagraph"/>
        <w:numPr>
          <w:ilvl w:val="0"/>
          <w:numId w:val="1"/>
        </w:numPr>
      </w:pPr>
      <w:r>
        <w:t xml:space="preserve">H.</w:t>
      </w:r>
      <w:r>
        <w:tab/>
      </w:r>
      <w:r>
        <w:t xml:space="preserve">Signal Interference</w:t>
      </w:r>
    </w:p>
    <w:p>
      <w:pPr>
        <w:pStyle w:val="ListParagraph"/>
        <w:numPr>
          <w:ilvl w:val="1"/>
          <w:numId w:val="1"/>
        </w:numPr>
      </w:pPr>
      <w:r>
        <w:t xml:space="preserve">1.</w:t>
      </w:r>
      <w:r>
        <w:tab/>
      </w:r>
      <w:r>
        <w:t xml:space="preserve">The WECF shall be certified by the manufacturer to be in conformance with the regulations of the Federal Communications Commission (47 CFR Part 15 as revised) relating to harmful interference with radio or television reception.</w:t>
      </w:r>
    </w:p>
    <w:p>
      <w:pPr>
        <w:pStyle w:val="ListParagraph"/>
        <w:numPr>
          <w:ilvl w:val="1"/>
          <w:numId w:val="1"/>
        </w:numPr>
      </w:pPr>
      <w:r>
        <w:t xml:space="preserve">2.</w:t>
      </w:r>
      <w:r>
        <w:tab/>
      </w:r>
      <w:r>
        <w:t xml:space="preserve">The WECF owner or operator shall make reasonable efforts to avoid any disruption or loss of radio, telephone, television or similar signals, and shall mitigate any harm caused by the WECF.</w:t>
      </w:r>
    </w:p>
    <w:p>
      <w:pPr>
        <w:pStyle w:val="ListParagraph"/>
        <w:numPr>
          <w:ilvl w:val="2"/>
          <w:numId w:val="1"/>
        </w:numPr>
      </w:pPr>
      <w:r>
        <w:t xml:space="preserve">I.</w:t>
      </w:r>
      <w:r>
        <w:tab/>
      </w:r>
      <w:r>
        <w:t xml:space="preserve">Waiver of Setbacks, Sound, Shadow Flicker, Height, and Rotor Diameter, Provisions</w:t>
      </w:r>
    </w:p>
    <w:p>
      <w:pPr>
        <w:pStyle w:val="ListParagraph"/>
        <w:numPr>
          <w:ilvl w:val="1"/>
          <w:numId w:val="1"/>
        </w:numPr>
      </w:pPr>
      <w:r>
        <w:t xml:space="preserve">1.</w:t>
      </w:r>
      <w:r>
        <w:tab/>
      </w:r>
      <w:r>
        <w:t xml:space="preserve">Notwithstanding anything to the contrary in Article IV, one or more waivers may be granted by the SPGA in accordance with this subsection provided that all such waivers are part of a special permit approval for a WECF and in accordance with this subsection. To the extent that any waiver effects compliance with setback and shadow flicker requirements, those items shall also require a waiver.</w:t>
      </w:r>
    </w:p>
    <w:p>
      <w:pPr>
        <w:pStyle w:val="ListParagraph"/>
        <w:numPr>
          <w:ilvl w:val="1"/>
          <w:numId w:val="1"/>
        </w:numPr>
      </w:pPr>
      <w:r>
        <w:t xml:space="preserve">2.</w:t>
      </w:r>
      <w:r>
        <w:tab/>
      </w:r>
      <w:r>
        <w:t xml:space="preserve">To the extent these provisions affect a participating property, the SPGA, in its discretion, shall be authorized to waive the setback, sound and shadow flicker provisions of this Section provided that:</w:t>
      </w:r>
    </w:p>
    <w:p>
      <w:pPr>
        <w:pStyle w:val="ListParagraph"/>
        <w:numPr>
          <w:ilvl w:val="2"/>
          <w:numId w:val="1"/>
        </w:numPr>
      </w:pPr>
      <w:r>
        <w:t xml:space="preserve">a.</w:t>
      </w:r>
      <w:r>
        <w:tab/>
      </w:r>
      <w:r>
        <w:t xml:space="preserve">The applicant submits the request in writing, and if the applicant is not the property owner, the property owner’s written consent to the waiver(s) shall also be submitted.</w:t>
      </w:r>
    </w:p>
    <w:p>
      <w:pPr>
        <w:pStyle w:val="ListParagraph"/>
        <w:numPr>
          <w:ilvl w:val="1"/>
          <w:numId w:val="1"/>
        </w:numPr>
      </w:pPr>
      <w:r>
        <w:t xml:space="preserve">3.</w:t>
      </w:r>
      <w:r>
        <w:tab/>
      </w:r>
      <w:r>
        <w:t xml:space="preserve">To the extent these provisions affect a non-participating property, the SPGA, in its discretion, shall be authorized to waive the setback, sound and shadow flicker provisions of this Section provided that:</w:t>
      </w:r>
    </w:p>
    <w:p>
      <w:pPr>
        <w:pStyle w:val="ListParagraph"/>
        <w:numPr>
          <w:ilvl w:val="2"/>
          <w:numId w:val="1"/>
        </w:numPr>
      </w:pPr>
      <w:r>
        <w:t xml:space="preserve">a.</w:t>
      </w:r>
      <w:r>
        <w:tab/>
      </w:r>
      <w:r>
        <w:t xml:space="preserve">The applicant submits the request in writing, accompanied by an affidavit signed by the affected non-participating property owner(s) in support of the applicant’s request for waiver.</w:t>
      </w:r>
    </w:p>
    <w:p>
      <w:pPr>
        <w:pStyle w:val="ListParagraph"/>
        <w:numPr>
          <w:ilvl w:val="2"/>
          <w:numId w:val="1"/>
        </w:numPr>
      </w:pPr>
      <w:r>
        <w:t xml:space="preserve">b.</w:t>
      </w:r>
      <w:r>
        <w:tab/>
      </w:r>
      <w:r>
        <w:t xml:space="preserve">The affidavit shall contain the non-participating property owner’s acknowledgement of the setback, sound or shadow flicker requirements of this Section and what is proposed in lieu thereof, describe the impact on the non- participating property owner(s), and state the non-participating property owner’s support for the applicant’s waiver request. A non-participating property owner’s affidavit shall be made a part of the special permit decision and shall be separately recorded with the Worcester District Registry of Deeds at the same time that the special permit decision is recorded to provide notice to all subsequent purchasers of the non-participating property of the waiver(s) granted.</w:t>
      </w:r>
    </w:p>
    <w:p>
      <w:pPr>
        <w:pStyle w:val="ListParagraph"/>
        <w:numPr>
          <w:ilvl w:val="1"/>
          <w:numId w:val="1"/>
        </w:numPr>
      </w:pPr>
      <w:r>
        <w:t xml:space="preserve">4.</w:t>
      </w:r>
      <w:r>
        <w:tab/>
      </w:r>
      <w:r>
        <w:t xml:space="preserve">To the extent these provisions affect a public way, the SPGA, in its discretion, shall be authorized to waive the setback, sound and shadow flicker provisions of this Section provided that:</w:t>
      </w:r>
    </w:p>
    <w:p>
      <w:pPr>
        <w:pStyle w:val="ListParagraph"/>
        <w:numPr>
          <w:ilvl w:val="2"/>
          <w:numId w:val="1"/>
        </w:numPr>
      </w:pPr>
      <w:r>
        <w:t xml:space="preserve">a.</w:t>
      </w:r>
      <w:r>
        <w:tab/>
      </w:r>
      <w:r>
        <w:t xml:space="preserve">The applicant submits the request in writing, provided further however, that no waiver may be granted to the extent it would affect an existing above ground utility transmission line unless the utility company owning such line consents to the waiver in writing.</w:t>
      </w:r>
    </w:p>
    <w:p>
      <w:pPr>
        <w:pStyle w:val="ListParagraph"/>
        <w:numPr>
          <w:ilvl w:val="1"/>
          <w:numId w:val="1"/>
        </w:numPr>
      </w:pPr>
      <w:r>
        <w:t xml:space="preserve">5.</w:t>
      </w:r>
      <w:r>
        <w:tab/>
      </w:r>
      <w:r>
        <w:t xml:space="preserve">To the extent these provisions affect the turbine height of a WECF, the SPGA, in its discretion, shall be authorized to waive the turbine height provisions of this Section provided that:</w:t>
      </w:r>
    </w:p>
    <w:p>
      <w:pPr>
        <w:pStyle w:val="ListParagraph"/>
        <w:numPr>
          <w:ilvl w:val="2"/>
          <w:numId w:val="1"/>
        </w:numPr>
      </w:pPr>
      <w:r>
        <w:t xml:space="preserve">a.</w:t>
      </w:r>
      <w:r>
        <w:tab/>
      </w:r>
      <w:r>
        <w:t xml:space="preserve">For any WECF, the applicant provide a comparison of the proposal with the alternative in terms of energy produced and greenhouse gases prevented, measured in tons of eCO2, that demonstrates that the increased height will significantly increase the energy produced by the WECF; and</w:t>
      </w:r>
    </w:p>
    <w:p>
      <w:pPr>
        <w:pStyle w:val="ListParagraph"/>
        <w:numPr>
          <w:ilvl w:val="2"/>
          <w:numId w:val="1"/>
        </w:numPr>
      </w:pPr>
      <w:r>
        <w:t xml:space="preserve">b.</w:t>
      </w:r>
      <w:r>
        <w:tab/>
      </w:r>
      <w:r>
        <w:t xml:space="preserve">For Small WECFs, the applicant demonstrates that obstacles within five- hundred (500) feet of the proposed location of a WECF will significantly reduce the available wind resource, or is likely to cause wind turbulence that would result in unsafe conditions for the operation of the proposed wind turbine. The SPGA shall be limited to a waiver of thirty (30) feet above the highest obstruction identified or one-hundred and twenty-five (125) feet, whichever is less.</w:t>
      </w:r>
    </w:p>
    <w:p>
      <w:pPr>
        <w:pStyle w:val="ListParagraph"/>
        <w:numPr>
          <w:ilvl w:val="1"/>
          <w:numId w:val="1"/>
        </w:numPr>
      </w:pPr>
      <w:r>
        <w:t xml:space="preserve">6.</w:t>
      </w:r>
      <w:r>
        <w:tab/>
      </w:r>
      <w:r>
        <w:t xml:space="preserve">To the extent these provisions affect the rotor diameter of a Large WECF, the SPGA, in its discretion, shall be authorized to waive the rotor diameter provisions of this Section provided that:</w:t>
      </w:r>
    </w:p>
    <w:p>
      <w:pPr>
        <w:pStyle w:val="ListParagraph"/>
        <w:numPr>
          <w:ilvl w:val="2"/>
          <w:numId w:val="1"/>
        </w:numPr>
      </w:pPr>
      <w:r>
        <w:t xml:space="preserve">a.</w:t>
      </w:r>
      <w:r>
        <w:tab/>
      </w:r>
      <w:r>
        <w:t xml:space="preserve">The applicant provide a comparison of the proposal with, and without, the waiver in terms of energy produced and greenhouse gases prevented, measured in tons of eCO2, that demonstrates that the increased rotor diameter will significantly increase the energy produced by the WECF.</w:t>
      </w:r>
    </w:p>
    <w:p>
      <w:pPr>
        <w:pStyle w:val="ListParagraph"/>
        <w:numPr>
          <w:ilvl w:val="0"/>
          <w:numId w:val="1"/>
        </w:numPr>
      </w:pPr>
      <w:r>
        <w:t xml:space="preserve">J.</w:t>
      </w:r>
      <w:r>
        <w:tab/>
      </w:r>
      <w:r>
        <w:t xml:space="preserve">Design and Installation</w:t>
      </w:r>
    </w:p>
    <w:p>
      <w:pPr>
        <w:pStyle w:val="ListParagraph"/>
        <w:numPr>
          <w:ilvl w:val="1"/>
          <w:numId w:val="1"/>
        </w:numPr>
      </w:pPr>
      <w:r>
        <w:t xml:space="preserve">1.</w:t>
      </w:r>
      <w:r>
        <w:tab/>
      </w:r>
      <w:r>
        <w:t xml:space="preserve">Compliance and Certifications: Prior to the operation of any WECF, the facility owner and operator must submit a signed affidavit to the director of Code Enforcement’s satisfaction verifying that the WECF, and all of its equipment, was designed and installed in accordance with the following standards:</w:t>
      </w:r>
    </w:p>
    <w:p>
      <w:pPr>
        <w:pStyle w:val="ListParagraph"/>
        <w:numPr>
          <w:ilvl w:val="2"/>
          <w:numId w:val="1"/>
        </w:numPr>
      </w:pPr>
      <w:r>
        <w:t xml:space="preserve">a)</w:t>
      </w:r>
      <w:r>
        <w:tab/>
      </w:r>
      <w:r>
        <w:t xml:space="preserve">The design and installation of the WECF complies with the most current applicable industry safety standards, including those of the American National Standards Institute, related to all wind turbine subsystems such as control and protection mechanisms, internal electrical systems, mechanical systems and support structures.</w:t>
      </w:r>
    </w:p>
    <w:p>
      <w:pPr>
        <w:pStyle w:val="ListParagraph"/>
        <w:numPr>
          <w:ilvl w:val="2"/>
          <w:numId w:val="1"/>
        </w:numPr>
      </w:pPr>
      <w:r>
        <w:t xml:space="preserve">b)</w:t>
      </w:r>
      <w:r>
        <w:tab/>
      </w:r>
      <w:r>
        <w:t xml:space="preserve">To the extent applicable, the WECF complies with Massachusetts State Building Code and International Conference of Building Officials Building Code.</w:t>
      </w:r>
    </w:p>
    <w:p>
      <w:pPr>
        <w:pStyle w:val="ListParagraph"/>
        <w:numPr>
          <w:ilvl w:val="2"/>
          <w:numId w:val="1"/>
        </w:numPr>
      </w:pPr>
      <w:r>
        <w:t xml:space="preserve">c)</w:t>
      </w:r>
      <w:r>
        <w:tab/>
      </w:r>
      <w:r>
        <w:t xml:space="preserve">All electrical components of the WECF comply with relevant and applicable local, state and national codes, and relevant and applicable international standards.</w:t>
      </w:r>
    </w:p>
    <w:p>
      <w:pPr>
        <w:pStyle w:val="ListParagraph"/>
        <w:numPr>
          <w:ilvl w:val="2"/>
          <w:numId w:val="1"/>
        </w:numPr>
      </w:pPr>
      <w:r>
        <w:t xml:space="preserve">d)</w:t>
      </w:r>
      <w:r>
        <w:tab/>
      </w:r>
      <w:r>
        <w:t xml:space="preserve">All wind turbines are equipped with the following systems and controls: redundant braking systems, aerodynamic overspeed controls (including variable pitch, tip, and other similar systems), and mechanical brakes. Mechanical brakes shall be operated in a fail-safe mode and stall control regulation shall not be considered a sufficient braking system for overspeed protection. Except for Small WECFs, which shall provide adequate redundant (primary and fail safe) automatic overspeed protection.</w:t>
      </w:r>
    </w:p>
    <w:p>
      <w:pPr>
        <w:pStyle w:val="ListParagraph"/>
        <w:numPr>
          <w:ilvl w:val="2"/>
          <w:numId w:val="1"/>
        </w:numPr>
      </w:pPr>
      <w:r>
        <w:t xml:space="preserve">e)</w:t>
      </w:r>
      <w:r>
        <w:tab/>
      </w:r>
      <w:r>
        <w:t xml:space="preserve">The design and installation of the WECF complies with applicable Federal Aviation Administration and Federal Communications Commission regulations as applicable.</w:t>
      </w:r>
    </w:p>
    <w:p>
      <w:pPr>
        <w:pStyle w:val="ListParagraph"/>
        <w:numPr>
          <w:ilvl w:val="2"/>
          <w:numId w:val="1"/>
        </w:numPr>
      </w:pPr>
      <w:r>
        <w:t xml:space="preserve">f)</w:t>
      </w:r>
      <w:r>
        <w:tab/>
      </w:r>
      <w:r>
        <w:t xml:space="preserve">To the extent applicable, WECFs shall be adequately protected from impact by vehicles through use of a physical barrier whether included as part of the foundation design or as separate elements including, but not limited to, bollards or guardrails.</w:t>
      </w:r>
    </w:p>
    <w:p>
      <w:pPr>
        <w:pStyle w:val="ListParagraph"/>
        <w:numPr>
          <w:ilvl w:val="1"/>
          <w:numId w:val="1"/>
        </w:numPr>
      </w:pPr>
      <w:r>
        <w:t xml:space="preserve">2.</w:t>
      </w:r>
      <w:r>
        <w:tab/>
      </w:r>
      <w:r>
        <w:t xml:space="preserve">Security and Warnings:</w:t>
      </w:r>
    </w:p>
    <w:p>
      <w:pPr>
        <w:pStyle w:val="ListParagraph"/>
        <w:numPr>
          <w:ilvl w:val="2"/>
          <w:numId w:val="1"/>
        </w:numPr>
      </w:pPr>
      <w:r>
        <w:t xml:space="preserve">a)</w:t>
      </w:r>
      <w:r>
        <w:tab/>
      </w:r>
      <w:r>
        <w:t xml:space="preserve">WECFs and METs shall not be climbable up to fifteen (15) feet above ground surface.</w:t>
      </w:r>
    </w:p>
    <w:p>
      <w:pPr>
        <w:pStyle w:val="ListParagraph"/>
        <w:numPr>
          <w:ilvl w:val="2"/>
          <w:numId w:val="1"/>
        </w:numPr>
      </w:pPr>
      <w:r>
        <w:t xml:space="preserve">b)</w:t>
      </w:r>
      <w:r>
        <w:tab/>
      </w:r>
      <w:r>
        <w:t xml:space="preserve">All access doors to wind turbines and electrical equipment shall be locked or fenced, as appropriate, to prevent entry by non-authorized persons.</w:t>
      </w:r>
    </w:p>
    <w:p>
      <w:pPr>
        <w:pStyle w:val="ListParagraph"/>
        <w:numPr>
          <w:ilvl w:val="2"/>
          <w:numId w:val="1"/>
        </w:numPr>
      </w:pPr>
      <w:r>
        <w:t xml:space="preserve">c)</w:t>
      </w:r>
      <w:r>
        <w:tab/>
      </w:r>
      <w:r>
        <w:t xml:space="preserve">Visible, reflective, colored objects, such as flags, reflectors, or tape shall be placed on the anchor points of guy wires and along the guy wires up to a height of ten (10) feet from the ground (pertains to METs only, see subsection D – Use Regulations).</w:t>
      </w:r>
    </w:p>
    <w:p>
      <w:pPr>
        <w:pStyle w:val="ListParagraph"/>
        <w:numPr>
          <w:ilvl w:val="2"/>
          <w:numId w:val="1"/>
        </w:numPr>
      </w:pPr>
      <w:r>
        <w:t xml:space="preserve">d)</w:t>
      </w:r>
      <w:r>
        <w:tab/>
      </w:r>
      <w:r>
        <w:t xml:space="preserve">A clearly visible warning sign concerning voltage must be placed at the base of all pad-mounted transformers and substations.</w:t>
      </w:r>
    </w:p>
    <w:p>
      <w:pPr>
        <w:pStyle w:val="ListParagraph"/>
        <w:numPr>
          <w:ilvl w:val="1"/>
          <w:numId w:val="1"/>
        </w:numPr>
      </w:pPr>
      <w:r>
        <w:t xml:space="preserve">3.</w:t>
      </w:r>
      <w:r>
        <w:tab/>
      </w:r>
      <w:r>
        <w:t xml:space="preserve">Visual Appearance:</w:t>
      </w:r>
    </w:p>
    <w:p>
      <w:pPr>
        <w:pStyle w:val="ListParagraph"/>
        <w:numPr>
          <w:ilvl w:val="2"/>
          <w:numId w:val="1"/>
        </w:numPr>
      </w:pPr>
      <w:r>
        <w:t xml:space="preserve">a)</w:t>
      </w:r>
      <w:r>
        <w:tab/>
      </w:r>
      <w:r>
        <w:t xml:space="preserve">Wind turbines and associated structures shall be a non-obtrusive color such as white, off-white, gray or light-blue.</w:t>
      </w:r>
    </w:p>
    <w:p>
      <w:pPr>
        <w:pStyle w:val="ListParagraph"/>
        <w:numPr>
          <w:ilvl w:val="2"/>
          <w:numId w:val="1"/>
        </w:numPr>
      </w:pPr>
      <w:r>
        <w:t xml:space="preserve">b)</w:t>
      </w:r>
      <w:r>
        <w:tab/>
      </w:r>
      <w:r>
        <w:t xml:space="preserve">No WECF shall be artificially lit, except to the extent required by the Federal Aviation Administration, or other applicable governmental authority that regulates air safety.</w:t>
      </w:r>
    </w:p>
    <w:p>
      <w:pPr>
        <w:pStyle w:val="ListParagraph"/>
        <w:numPr>
          <w:ilvl w:val="2"/>
          <w:numId w:val="1"/>
        </w:numPr>
      </w:pPr>
      <w:r>
        <w:t xml:space="preserve">c)</w:t>
      </w:r>
      <w:r>
        <w:tab/>
      </w:r>
      <w:r>
        <w:t xml:space="preserve">Wind turbines shall not be used for the location of accessory or non-accessory signs except for reasonable identification of the turbine manufacturer, host site, or both.</w:t>
      </w:r>
    </w:p>
    <w:p>
      <w:pPr>
        <w:pStyle w:val="ListParagraph"/>
        <w:numPr>
          <w:ilvl w:val="2"/>
          <w:numId w:val="1"/>
        </w:numPr>
      </w:pPr>
      <w:r>
        <w:t xml:space="preserve">d)</w:t>
      </w:r>
      <w:r>
        <w:tab/>
      </w:r>
      <w:r>
        <w:t xml:space="preserve">On-site transmission and power lines between wind turbines shall, to the maximum extent practicable, be placed underground (not applicable to Small WECFs).</w:t>
      </w:r>
    </w:p>
    <w:p>
      <w:pPr>
        <w:pStyle w:val="ListParagraph"/>
        <w:numPr>
          <w:ilvl w:val="2"/>
          <w:numId w:val="1"/>
        </w:numPr>
      </w:pPr>
      <w:r>
        <w:t xml:space="preserve">e)</w:t>
      </w:r>
      <w:r>
        <w:tab/>
      </w:r>
      <w:r>
        <w:t xml:space="preserve">Inverters and pendant power cables shall be located inside the wind turbine tower, nacelle or structure.</w:t>
      </w:r>
    </w:p>
    <w:p>
      <w:pPr>
        <w:pStyle w:val="ListParagraph"/>
        <w:numPr>
          <w:ilvl w:val="2"/>
          <w:numId w:val="1"/>
        </w:numPr>
      </w:pPr>
      <w:r>
        <w:t xml:space="preserve">f)</w:t>
      </w:r>
      <w:r>
        <w:tab/>
      </w:r>
      <w:r>
        <w:t xml:space="preserve">No telecommunication dishes, antennas, cellular telephone repeaters or other similar devices shall be attached to wind turbine towers, except for accessory antenna associated with the operation of the WECF.</w:t>
      </w:r>
    </w:p>
    <w:p>
      <w:pPr>
        <w:pStyle w:val="ListParagraph"/>
        <w:numPr>
          <w:ilvl w:val="2"/>
          <w:numId w:val="1"/>
        </w:numPr>
      </w:pPr>
      <w:r>
        <w:t xml:space="preserve">g)</w:t>
      </w:r>
      <w:r>
        <w:tab/>
      </w:r>
      <w:r>
        <w:t xml:space="preserve">All appurtenant structures to such WECF shall be subject to reasonable regulations concerning the bulk and height of structures and for determining lot area, setbacks, open space, parking and building coverage requirements. All such appurtenant structures, including but not limited to equipment shelters, storage facilities, transformers, and substations shall be screened from view by vegetation and clustered to minimize visibility.</w:t>
      </w:r>
    </w:p>
    <w:p>
      <w:pPr>
        <w:pStyle w:val="ListParagraph"/>
        <w:numPr>
          <w:ilvl w:val="0"/>
          <w:numId w:val="1"/>
        </w:numPr>
      </w:pPr>
      <w:r>
        <w:t xml:space="preserve">K.</w:t>
      </w:r>
      <w:r>
        <w:tab/>
      </w:r>
      <w:r>
        <w:t xml:space="preserve">Maintenance WECF owners and operators shall provide for the ongoing maintenance by appropriately certified professionals in accordance with manufacturer’s specifications and all governmental regulations for all structural, electrical and mechanical components of the WECF to ensure the safe operation of the WECF.</w:t>
      </w:r>
    </w:p>
    <w:p>
      <w:pPr>
        <w:pStyle w:val="ListParagraph"/>
        <w:numPr>
          <w:ilvl w:val="0"/>
          <w:numId w:val="1"/>
        </w:numPr>
      </w:pPr>
      <w:r>
        <w:t xml:space="preserve">L.</w:t>
      </w:r>
      <w:r>
        <w:tab/>
      </w:r>
      <w:r>
        <w:t xml:space="preserve">Emergency Services Plan Upon request, the applicant shall cooperate with emergency services providers to develop and coordinate implementation of an emergency response plan for the WECF(s).</w:t>
      </w:r>
    </w:p>
    <w:p>
      <w:pPr>
        <w:pStyle w:val="ListParagraph"/>
        <w:numPr>
          <w:ilvl w:val="0"/>
          <w:numId w:val="1"/>
        </w:numPr>
      </w:pPr>
      <w:r>
        <w:t xml:space="preserve">M.</w:t>
      </w:r>
      <w:r>
        <w:tab/>
      </w:r>
      <w:r>
        <w:t xml:space="preserve">Use Of Public Streets Plan (not applicable to Small WECFs)</w:t>
      </w:r>
    </w:p>
    <w:p>
      <w:pPr>
        <w:pStyle w:val="ListParagraph"/>
        <w:numPr>
          <w:ilvl w:val="1"/>
          <w:numId w:val="1"/>
        </w:numPr>
      </w:pPr>
      <w:r>
        <w:t xml:space="preserve">1.</w:t>
      </w:r>
      <w:r>
        <w:tab/>
      </w:r>
      <w:r>
        <w:t xml:space="preserve">At least sixty (60), but no greater than ninety (90), days prior to construction, the applicant shall obtain the requisite permit from the Department of Public Works and Parks approving the route and method of transporting the equipment and parts for the construction, operation or maintenance of the WECF. In addition to the permit requirements promulgated by the commissioner of DPWP, the applicant shall submit, with its request for a permit, a report identifying all state and city streets within the city of Worcester to be used as its transport route. A copy of the report shall also be submitted to the Division of Planning and Regulatory Services.</w:t>
      </w:r>
    </w:p>
    <w:p>
      <w:pPr>
        <w:pStyle w:val="ListParagraph"/>
        <w:numPr>
          <w:ilvl w:val="1"/>
          <w:numId w:val="1"/>
        </w:numPr>
      </w:pPr>
      <w:r>
        <w:t xml:space="preserve">2.</w:t>
      </w:r>
      <w:r>
        <w:tab/>
      </w:r>
      <w:r>
        <w:t xml:space="preserve">An engineer or a qualified third party engineer hired by the City of Worcester and paid for by the applicant, shall document road conditions along the route chosen prior to construction. Said engineer shall document road conditions again thirty (30) days after construction is complete or as weather permits. This documentation shall be provided to the commissioner of Public Works and Parks for review.</w:t>
      </w:r>
    </w:p>
    <w:p>
      <w:pPr>
        <w:pStyle w:val="ListParagraph"/>
        <w:numPr>
          <w:ilvl w:val="1"/>
          <w:numId w:val="1"/>
        </w:numPr>
      </w:pPr>
      <w:r>
        <w:t xml:space="preserve">3.</w:t>
      </w:r>
      <w:r>
        <w:tab/>
      </w:r>
      <w:r>
        <w:t xml:space="preserve">The applicant shall demonstrate to the satisfaction of the commissioner of Public Works and Parks that the applicant has adequate financial resources to ensure the prompt repair of damaged roads.</w:t>
      </w:r>
    </w:p>
    <w:p>
      <w:pPr>
        <w:pStyle w:val="ListParagraph"/>
        <w:numPr>
          <w:ilvl w:val="1"/>
          <w:numId w:val="1"/>
        </w:numPr>
      </w:pPr>
      <w:r>
        <w:t xml:space="preserve">4.</w:t>
      </w:r>
      <w:r>
        <w:tab/>
      </w:r>
      <w:r>
        <w:t xml:space="preserve">Any road damage caused by the applicant or its contractors shall be promptly repaired at the applicant’s expense.</w:t>
      </w:r>
    </w:p>
    <w:p>
      <w:pPr>
        <w:pStyle w:val="ListParagraph"/>
        <w:numPr>
          <w:ilvl w:val="0"/>
          <w:numId w:val="1"/>
        </w:numPr>
      </w:pPr>
      <w:r>
        <w:t xml:space="preserve">N.</w:t>
      </w:r>
      <w:r>
        <w:tab/>
      </w:r>
      <w:r>
        <w:t xml:space="preserve">Abandonment, Discontinuation of Use Or Repair</w:t>
      </w:r>
    </w:p>
    <w:p>
      <w:pPr>
        <w:pStyle w:val="ListParagraph"/>
        <w:numPr>
          <w:ilvl w:val="1"/>
          <w:numId w:val="1"/>
        </w:numPr>
      </w:pPr>
      <w:r>
        <w:t xml:space="preserve">1.</w:t>
      </w:r>
      <w:r>
        <w:tab/>
      </w:r>
      <w:r>
        <w:t xml:space="preserve">Notification:</w:t>
      </w:r>
    </w:p>
    <w:p>
      <w:pPr>
        <w:pStyle w:val="ListParagraph"/>
        <w:numPr>
          <w:ilvl w:val="2"/>
          <w:numId w:val="1"/>
        </w:numPr>
      </w:pPr>
      <w:r>
        <w:t xml:space="preserve">a)</w:t>
      </w:r>
      <w:r>
        <w:tab/>
      </w:r>
      <w:r>
        <w:t xml:space="preserve">The WECF owner or operator shall notify the Director of Code Enforcement by certified U.S. Mail thirty (30) days prior to the proposed date of abandonment or discontinuation of use of any WECF or individual wind turbine.</w:t>
      </w:r>
    </w:p>
    <w:p>
      <w:pPr>
        <w:pStyle w:val="ListParagraph"/>
        <w:numPr>
          <w:ilvl w:val="2"/>
          <w:numId w:val="1"/>
        </w:numPr>
      </w:pPr>
      <w:r>
        <w:t xml:space="preserve">b)</w:t>
      </w:r>
      <w:r>
        <w:tab/>
      </w:r>
      <w:r>
        <w:t xml:space="preserve">On a yearly basis, from the date of the issuance of a building permit, the WECF owner or operator shall provide the Director of Code Enforcement a report indicating the total electricity generated by each wind turbine by month of service.</w:t>
      </w:r>
    </w:p>
    <w:p>
      <w:pPr>
        <w:pStyle w:val="ListParagraph"/>
        <w:numPr>
          <w:ilvl w:val="2"/>
          <w:numId w:val="1"/>
        </w:numPr>
      </w:pPr>
      <w:r>
        <w:t xml:space="preserve">c)</w:t>
      </w:r>
      <w:r>
        <w:tab/>
      </w:r>
      <w:r>
        <w:t xml:space="preserve">The use of a WECF or individual wind turbine will be considered discontinued if no electricity is generated for a continuous period of twelve (12) months.</w:t>
      </w:r>
    </w:p>
    <w:p>
      <w:pPr>
        <w:pStyle w:val="ListParagraph"/>
        <w:numPr>
          <w:ilvl w:val="1"/>
          <w:numId w:val="1"/>
        </w:numPr>
      </w:pPr>
      <w:r>
        <w:t xml:space="preserve">2.</w:t>
      </w:r>
      <w:r>
        <w:tab/>
      </w:r>
      <w:r>
        <w:t xml:space="preserve">Decommissioning:</w:t>
      </w:r>
    </w:p>
    <w:p>
      <w:pPr>
        <w:pStyle w:val="ListParagraph"/>
        <w:numPr>
          <w:ilvl w:val="2"/>
          <w:numId w:val="1"/>
        </w:numPr>
      </w:pPr>
      <w:r>
        <w:t xml:space="preserve">a)</w:t>
      </w:r>
      <w:r>
        <w:tab/>
      </w:r>
      <w:r>
        <w:t xml:space="preserve">Upon abandonment or discontinuation of use of a WECF, the facility owner, operator or landowner shall, at its expense, remove wind turbines, and all above ground structures, buildings, cabling, electrical components, roads, and any other associated facilities within twelve (12) months.</w:t>
      </w:r>
    </w:p>
    <w:p>
      <w:pPr>
        <w:pStyle w:val="ListParagraph"/>
        <w:numPr>
          <w:ilvl w:val="2"/>
          <w:numId w:val="1"/>
        </w:numPr>
      </w:pPr>
      <w:r>
        <w:t xml:space="preserve">b)</w:t>
      </w:r>
      <w:r>
        <w:tab/>
      </w:r>
      <w:r>
        <w:t xml:space="preserve">All waste materials from a decommissioning shall be disposed of in accordance with local and state solid waste disposal regulations.</w:t>
      </w:r>
    </w:p>
    <w:p>
      <w:pPr>
        <w:pStyle w:val="ListParagraph"/>
        <w:numPr>
          <w:ilvl w:val="2"/>
          <w:numId w:val="1"/>
        </w:numPr>
      </w:pPr>
      <w:r>
        <w:t xml:space="preserve">c)</w:t>
      </w:r>
      <w:r>
        <w:tab/>
      </w:r>
      <w:r>
        <w:t xml:space="preserve">Disturbed earth shall be graded and re-seeded, unless the landowner requests in writing that the access roads or other land surface areas not be restored.</w:t>
      </w:r>
    </w:p>
    <w:p>
      <w:pPr>
        <w:pStyle w:val="ListParagraph"/>
        <w:numPr>
          <w:ilvl w:val="2"/>
          <w:numId w:val="1"/>
        </w:numPr>
      </w:pPr>
      <w:r>
        <w:t xml:space="preserve">d)</w:t>
      </w:r>
      <w:r>
        <w:tab/>
      </w:r>
      <w:r>
        <w:t xml:space="preserve">If neither the WECF owner or operator nor the landowner, if different, completes decommissioning within the period prescribed in this subsection, the City of Worcester may take such measures as necessary to complete the decommissioning. The costs incurred by the city shall constitute a debt due the city upon completion of the decommissioning activities and the rendering of an account to the facility owner, operator and the landowner, if applicable, and shall be recoverable from such party(ies) in an action of contract. For Large WECFs only, the Special Permit Granting Authority may require the applicant to post a bond at the time of construction equal to the estimated costs associated with the removal of the WECF in the event the City of Worcester must remove the WECF.</w:t>
      </w:r>
    </w:p>
    <w:p>
      <w:pPr>
        <w:pStyle w:val="ListParagraph"/>
        <w:numPr>
          <w:ilvl w:val="1"/>
          <w:numId w:val="1"/>
        </w:numPr>
      </w:pPr>
      <w:r>
        <w:t xml:space="preserve">3.</w:t>
      </w:r>
      <w:r>
        <w:tab/>
      </w:r>
      <w:r>
        <w:t xml:space="preserve">Repair:</w:t>
      </w:r>
    </w:p>
    <w:p>
      <w:pPr>
        <w:pStyle w:val="ListParagraph"/>
        <w:numPr>
          <w:ilvl w:val="2"/>
          <w:numId w:val="1"/>
        </w:numPr>
      </w:pPr>
      <w:r>
        <w:t xml:space="preserve">a)</w:t>
      </w:r>
      <w:r>
        <w:tab/>
      </w:r>
      <w:r>
        <w:t xml:space="preserve">Any WECF determined to be unsafe by the Director of Code Enforcement shall be turned off immediately upon notice and repaired as soon as practicable by the WECF owner or operator to meet federal, state and local safety standards. Evidence of such repair shall be reviewed and approved, if deemed satisfactory, by the Director of Code Enforcement prior to resuming use of the WECF. If the Director of Code Enforcement deems the timetable for corrective action as unreasonable or inadequate to ensure proper safety, the WECF owner or operator shall decommission the WECF in accordance with subsection N(2) except that the period of time shall be prescribed by the Director of Code Enforcement.</w:t>
      </w:r>
    </w:p>
    <w:p>
      <w:pPr>
        <w:pStyle w:val="ListParagraph"/>
        <w:numPr>
          <w:ilvl w:val="0"/>
          <w:numId w:val="1"/>
        </w:numPr>
      </w:pPr>
      <w:r>
        <w:t xml:space="preserve">O.</w:t>
      </w:r>
      <w:r>
        <w:tab/>
      </w:r>
      <w:r>
        <w:t xml:space="preserve">Public Inquiries and Complaints</w:t>
      </w:r>
    </w:p>
    <w:p>
      <w:pPr>
        <w:pStyle w:val="ListParagraph"/>
        <w:numPr>
          <w:ilvl w:val="1"/>
          <w:numId w:val="1"/>
        </w:numPr>
      </w:pPr>
      <w:r>
        <w:t xml:space="preserve">1.</w:t>
      </w:r>
      <w:r>
        <w:tab/>
      </w:r>
      <w:r>
        <w:t xml:space="preserve">The WECF owner and operator shall maintain a phone number and identify a responsible person for the public to contact with inquiries and complaints throughout the life of the project. The applicant shall notify all abutters within three-hundred (300) feet of this phone number prior to the operation or testing of any WECF.</w:t>
      </w:r>
    </w:p>
    <w:p>
      <w:pPr>
        <w:pStyle w:val="ListParagraph"/>
        <w:numPr>
          <w:ilvl w:val="1"/>
          <w:numId w:val="1"/>
        </w:numPr>
      </w:pPr>
      <w:r>
        <w:t xml:space="preserve">2.</w:t>
      </w:r>
      <w:r>
        <w:tab/>
      </w:r>
      <w:r>
        <w:t xml:space="preserve">The WECF owner and operator shall post an emergency telephone number so that the appropriate people may be contacted should any wind turbine need immediate attention. This telephone number shall be clearly visible on a permanent structure(s) or post(s) located at a distance at least 1.25 times the turbine height. (Not applicable to Small WECFs, which shall provide a number on tower.)</w:t>
      </w:r>
    </w:p>
    <w:p>
      <w:pPr>
        <w:pStyle w:val="ListParagraph"/>
        <w:numPr>
          <w:ilvl w:val="1"/>
          <w:numId w:val="1"/>
        </w:numPr>
      </w:pPr>
      <w:r>
        <w:t xml:space="preserve">3.</w:t>
      </w:r>
      <w:r>
        <w:tab/>
      </w:r>
      <w:r>
        <w:t xml:space="preserve">The WECF owner and operator shall make reasonable efforts to respond to the public’s inquiries and complaints.</w:t>
      </w:r>
    </w:p>
    <w:p>
      <w:pPr>
        <w:pStyle w:val="ListParagraph"/>
        <w:numPr>
          <w:ilvl w:val="1"/>
          <w:numId w:val="1"/>
        </w:numPr>
      </w:pPr>
      <w:r>
        <w:t xml:space="preserve">4.</w:t>
      </w:r>
      <w:r>
        <w:tab/>
      </w:r>
      <w:r>
        <w:t xml:space="preserve">Upon receipt of a complaint by the Code Enforcement Division regarding sound from an existing WECF, the division will investigate the complaint. If the director of Code Enforcement determines the complaint to be reasonable, the WECF owner or operator shall be required, at its expense, to have prepared, by an independent professional acoustical engineer approved by the city, an acoustical study that measures sound levels and demonstrates compliance with the sound standards in this Section.</w:t>
      </w:r>
    </w:p>
    <w:p>
      <w:pPr>
        <w:pStyle w:val="ListParagraph"/>
        <w:numPr>
          <w:ilvl w:val="1"/>
          <w:numId w:val="1"/>
        </w:numPr>
      </w:pPr>
      <w:r>
        <w:t xml:space="preserve">5.</w:t>
      </w:r>
      <w:r>
        <w:tab/>
      </w:r>
      <w:r>
        <w:t xml:space="preserve">Methods for measuring and reporting acoustic emissions from wind turbines and the WECF shall be equal to or exceed the minimum standards for precision described in American Wind Energy Association Standard 2.1 - 1989 titled Procedures for the Measurement and Reporting of Acoustic Emissions from Wind Turbine Generation Systems Volume I: First Tier as revised.</w:t>
      </w:r>
    </w:p>
    <w:p>
      <w:pPr>
        <w:pStyle w:val="ListParagraph"/>
        <w:numPr>
          <w:ilvl w:val="0"/>
          <w:numId w:val="1"/>
        </w:numPr>
      </w:pPr>
      <w:r>
        <w:t xml:space="preserve">P.</w:t>
      </w:r>
      <w:r>
        <w:tab/>
      </w:r>
      <w:r>
        <w:t xml:space="preserve">Special Permit Approval Criteria</w:t>
      </w:r>
    </w:p>
    <w:p>
      <w:pPr>
        <w:pStyle w:val="ListParagraph"/>
        <w:numPr>
          <w:ilvl w:val="1"/>
          <w:numId w:val="1"/>
        </w:numPr>
      </w:pPr>
      <w:r>
        <w:t xml:space="preserve">1.</w:t>
      </w:r>
      <w:r>
        <w:tab/>
      </w:r>
      <w:r>
        <w:t xml:space="preserve">After notice and public hearing, and after due consideration of the evidence submitted, including the reports and recommendations of city departments, the SPGA, in addition to the special permit criteria under Article II, may grant such a special permit provided that it finds that:</w:t>
      </w:r>
    </w:p>
    <w:p>
      <w:pPr>
        <w:pStyle w:val="ListParagraph"/>
        <w:numPr>
          <w:ilvl w:val="2"/>
          <w:numId w:val="1"/>
        </w:numPr>
      </w:pPr>
      <w:r>
        <w:t xml:space="preserve">a)</w:t>
      </w:r>
      <w:r>
        <w:tab/>
      </w:r>
      <w:r>
        <w:t xml:space="preserve">The proposed WECF does not derogate from the purposes and intent of this Section and the Zoning Ordinance.</w:t>
      </w:r>
    </w:p>
    <w:p>
      <w:pPr>
        <w:pStyle w:val="ListParagraph"/>
        <w:numPr>
          <w:ilvl w:val="2"/>
          <w:numId w:val="1"/>
        </w:numPr>
      </w:pPr>
      <w:r>
        <w:t xml:space="preserve">b)</w:t>
      </w:r>
      <w:r>
        <w:tab/>
      </w:r>
      <w:r>
        <w:t xml:space="preserve">The application information submitted is adequate for the SPGA to consider approving the special permit request.</w:t>
      </w:r>
    </w:p>
    <w:p>
      <w:pPr>
        <w:pStyle w:val="ListParagraph"/>
        <w:numPr>
          <w:ilvl w:val="2"/>
          <w:numId w:val="1"/>
        </w:numPr>
      </w:pPr>
      <w:r>
        <w:t xml:space="preserve">c)</w:t>
      </w:r>
      <w:r>
        <w:tab/>
      </w:r>
      <w:r>
        <w:t xml:space="preserve">The proposed design, installation and operation of the WECF will meet the requirements of this Section.</w:t>
      </w:r>
    </w:p>
    <w:p>
      <w:pPr>
        <w:pStyle w:val="ListParagraph"/>
        <w:numPr>
          <w:ilvl w:val="2"/>
          <w:numId w:val="1"/>
        </w:numPr>
      </w:pPr>
      <w:r>
        <w:t xml:space="preserve">d)</w:t>
      </w:r>
      <w:r>
        <w:tab/>
      </w:r>
      <w:r>
        <w:t xml:space="preserve">The acoustical assessment provided adequately predicts resulting sound levels as may be measured in accordance with the provisions of this Section. (Not applicable to Small WECFs)</w:t>
      </w:r>
    </w:p>
    <w:p>
      <w:pPr>
        <w:pStyle w:val="ListParagraph"/>
        <w:numPr>
          <w:ilvl w:val="1"/>
          <w:numId w:val="1"/>
        </w:numPr>
      </w:pPr>
      <w:r>
        <w:t xml:space="preserve">2.</w:t>
      </w:r>
      <w:r>
        <w:tab/>
      </w:r>
      <w:r>
        <w:t xml:space="preserve">Reasonable efforts have been made to minimize shadow flicker on neighboring or adjacent uses.</w:t>
      </w:r>
    </w:p>
    <w:p>
      <w:pPr>
        <w:pStyle w:val="ListParagraph"/>
        <w:numPr>
          <w:ilvl w:val="1"/>
          <w:numId w:val="1"/>
        </w:numPr>
      </w:pPr>
      <w:r>
        <w:t xml:space="preserve">3.</w:t>
      </w:r>
      <w:r>
        <w:tab/>
      </w:r>
      <w:r>
        <w:t xml:space="preserve">The maintenance plan proposed adequately provides for the ongoing safe operation of the WECF.</w:t>
      </w:r>
    </w:p>
    <w:p>
      <w:pPr>
        <w:pStyle w:val="ListParagraph"/>
        <w:numPr>
          <w:ilvl w:val="1"/>
          <w:numId w:val="1"/>
        </w:numPr>
      </w:pPr>
      <w:r>
        <w:t xml:space="preserve">4.</w:t>
      </w:r>
      <w:r>
        <w:tab/>
      </w:r>
      <w:r>
        <w:t xml:space="preserve">There will be no substantial adverse affect on the environment or wildlife. (Not applicable to Small WECFs)</w:t>
      </w:r>
    </w:p>
    <w:p>
      <w:pPr>
        <w:pStyle w:val="ListParagraph"/>
        <w:numPr>
          <w:ilvl w:val="1"/>
          <w:numId w:val="1"/>
        </w:numPr>
      </w:pPr>
      <w:r>
        <w:t xml:space="preserve">5.</w:t>
      </w:r>
      <w:r>
        <w:tab/>
      </w:r>
      <w:r>
        <w:t xml:space="preserve">The documentation and information for setback, sound and shadow flicker waiver requests, if any, provide sufficient assurance that the affected participating and non- participating property owners are fully informed and consent to the waiver requests.</w:t>
      </w:r>
    </w:p>
    <w:p>
      <w:pPr>
        <w:pStyle w:val="ListParagraph"/>
        <w:numPr>
          <w:ilvl w:val="1"/>
          <w:numId w:val="1"/>
        </w:numPr>
      </w:pPr>
      <w:r>
        <w:t xml:space="preserve">6.</w:t>
      </w:r>
      <w:r>
        <w:tab/>
      </w:r>
      <w:r>
        <w:t xml:space="preserve">That documentation and information for height and rotor diameter (as applicable) waiver requests, if any, are sufficient to demonstrate the requirements of subsection I.</w:t>
      </w:r>
    </w:p>
    <w:p>
      <w:pPr>
        <w:pStyle w:val="ListParagraph"/>
        <w:numPr>
          <w:ilvl w:val="0"/>
          <w:numId w:val="1"/>
        </w:numPr>
      </w:pPr>
      <w:r>
        <w:t xml:space="preserve">Q.</w:t>
      </w:r>
      <w:r>
        <w:tab/>
      </w:r>
      <w:r>
        <w:t xml:space="preserve">Term of Special Permit A special permit issued for any WECF shall be valid for no more than twenty (20) years, but in no event, if the applicant is a lessee of the property owner, shall a special permit be granted for a term greater than the term of the lease. No more than six months prior to the expiration of a special permit granted hereunder, the applicant, or its successor in interest, may apply for an extension of the term through a special permit amendment. The SPGA may grant one or more extensions of the term, of up to five (5) years per extension, provided it finds that the WECF is operating in accordance with this Section, and that the WECF has been, and will continue to be, properly maintained. The applicant shall provide documentation regarding ongoing maintenance of the WECF in accordance with the maintenance plan proposed, and an inspection report verifying that the WECF can continue to operate safely.</w:t>
      </w:r>
    </w:p>
    <w:p>
      <w:pPr>
        <w:pStyle w:val="ListParagraph"/>
        <w:numPr>
          <w:ilvl w:val="0"/>
          <w:numId w:val="1"/>
        </w:numPr>
      </w:pPr>
      <w:r>
        <w:t xml:space="preserve">R.</w:t>
      </w:r>
      <w:r>
        <w:tab/>
      </w:r>
      <w:r>
        <w:t xml:space="preserve">Application Requirements</w:t>
      </w:r>
    </w:p>
    <w:p>
      <w:pPr>
        <w:pStyle w:val="ListParagraph"/>
        <w:numPr>
          <w:ilvl w:val="1"/>
          <w:numId w:val="1"/>
        </w:numPr>
      </w:pPr>
      <w:r>
        <w:t xml:space="preserve">1.</w:t>
      </w:r>
      <w:r>
        <w:tab/>
      </w:r>
      <w:r>
        <w:t xml:space="preserve">All applicants are encouraged to contact the SPGA staff to schedule a pre-application meeting.</w:t>
      </w:r>
    </w:p>
    <w:p>
      <w:pPr>
        <w:pStyle w:val="ListParagraph"/>
        <w:numPr>
          <w:ilvl w:val="1"/>
          <w:numId w:val="1"/>
        </w:numPr>
      </w:pPr>
      <w:r>
        <w:t xml:space="preserve">2.</w:t>
      </w:r>
      <w:r>
        <w:tab/>
      </w:r>
      <w:r>
        <w:t xml:space="preserve">In addition to all application requirements related to special permits under Article II, the applicant shall include the following at the time of application submittal:</w:t>
      </w:r>
    </w:p>
    <w:p>
      <w:pPr>
        <w:pStyle w:val="ListParagraph"/>
        <w:numPr>
          <w:ilvl w:val="2"/>
          <w:numId w:val="1"/>
        </w:numPr>
      </w:pPr>
      <w:r>
        <w:t xml:space="preserve">a)</w:t>
      </w:r>
      <w:r>
        <w:tab/>
      </w:r>
      <w:r>
        <w:t xml:space="preserve">Project Overview: A narrative describing the proposed WECF including an overview of the project with the following information: the project location, the number, representative types, generating capacity, cut-in and cut-out wind speed, overspeed controls, materials, dimensions and respective manufacturers of each wind turbine to be constructed, and a detailed description of all ancillary facilities. This overview shall also include a comparison of estimated electric generation vs. on-site electric consumption, a cost-benefit analysis demonstrating that the proposed hub height and turbine height are necessary to achieve economic viability (including the variation of electricity generated at alternative heights), and an estimate of the number of tons of pollution prevented.</w:t>
      </w:r>
    </w:p>
    <w:p>
      <w:pPr>
        <w:pStyle w:val="ListParagraph"/>
        <w:numPr>
          <w:ilvl w:val="2"/>
          <w:numId w:val="1"/>
        </w:numPr>
      </w:pPr>
      <w:r>
        <w:t xml:space="preserve">b)</w:t>
      </w:r>
      <w:r>
        <w:tab/>
      </w:r>
      <w:r>
        <w:t xml:space="preserve">Vicinity Plan: A vicinity plan shall be prepared by a registered engineer and must show the scale, a north arrow, legend or annotation (for each symbol used) and identify the sheet number in sequence. Use separate sheets for various layers as appropriate to improve clarity – include overview sheet will all layers. (Not Applicable to Small WECFs)</w:t>
      </w:r>
    </w:p>
    <w:p>
      <w:pPr>
        <w:pStyle w:val="ListParagraph"/>
        <w:numPr>
          <w:ilvl w:val="2"/>
          <w:numId w:val="1"/>
        </w:numPr>
      </w:pPr>
      <w:r>
        <w:t xml:space="preserve">i)</w:t>
      </w:r>
      <w:r>
        <w:tab/>
      </w:r>
      <w:r>
        <w:t xml:space="preserve">Vicinity plans shall depict the following information for the subject property and all adjacent properties within 300 feet: (aa) Property lines, layout of existing buildings (including their use status - e.g., occupied buildings), accessory structures, location and name of all public, private roads, and railroads.</w:t>
      </w:r>
    </w:p>
    <w:p>
      <w:pPr>
        <w:ind w:left="1470"/>
      </w:pPr>
      <w:r>
        <w:t xml:space="preserve">(bb) Any significant natural, topographical or physical features of the area including existing contours at two (2) feet in one hundred (100) feet. (cc) Lines representing the sight line showing viewpoint and visible point from “sight lines” subsection below. (dd) Annotation(s) identifying all parcels and occupied buildings affected by waivers, if any. (ee) Area of estimated wind turbine shadow flicker.</w:t>
      </w:r>
    </w:p>
    <w:p>
      <w:pPr>
        <w:pStyle w:val="ListParagraph"/>
        <w:numPr>
          <w:ilvl w:val="3"/>
          <w:numId w:val="1"/>
        </w:numPr>
      </w:pPr>
      <w:r>
        <w:t xml:space="preserve">ii)</w:t>
      </w:r>
      <w:r>
        <w:tab/>
      </w:r>
      <w:r>
        <w:t xml:space="preserve">The vicinity plan shall depict the proposed location of each wind turbine(s), street address, property lines, wind turbine setback lines (depicted as a radius from the center of the wind turbine), access road and turnout locations, substation(s), electrical cabling from the WECF to substation(s), ancillary equipment, buildings, and structures, including permanent meteorological towers, associated transmission lines (including whether they are above or below ground), and layout of all structures within the geographical boundaries of any applicable setback.</w:t>
      </w:r>
    </w:p>
    <w:p>
      <w:pPr>
        <w:pStyle w:val="ListParagraph"/>
        <w:numPr>
          <w:ilvl w:val="2"/>
          <w:numId w:val="1"/>
        </w:numPr>
      </w:pPr>
      <w:r>
        <w:t xml:space="preserve">c)</w:t>
      </w:r>
      <w:r>
        <w:tab/>
      </w:r>
      <w:r>
        <w:t xml:space="preserve">Site Plan: A site plan to a scale of not less than forty (40) feet to the inch, on one or more sheets, prepared by a registered engineer, and indicate the scale used, a north arrow, legend or annotation (for each symbol used), and identify the sheet number in sequence. Use separate sheets for various layers as appropriate to improve clarity</w:t>
      </w:r>
    </w:p>
    <w:p>
      <w:pPr>
        <w:pStyle w:val="ListParagraph"/>
        <w:numPr>
          <w:ilvl w:val="3"/>
          <w:numId w:val="1"/>
        </w:numPr>
      </w:pPr>
      <w:r>
        <w:t xml:space="preserve">–</w:t>
      </w:r>
      <w:r>
        <w:tab/>
      </w:r>
      <w:r>
        <w:t xml:space="preserve">include overview sheet with all layers. The site plan shall also include the following information:</w:t>
      </w:r>
    </w:p>
    <w:p>
      <w:pPr>
        <w:pStyle w:val="ListParagraph"/>
        <w:numPr>
          <w:ilvl w:val="2"/>
          <w:numId w:val="1"/>
        </w:numPr>
      </w:pPr>
      <w:r>
        <w:t xml:space="preserve">i)</w:t>
      </w:r>
      <w:r>
        <w:tab/>
      </w:r>
      <w:r>
        <w:t xml:space="preserve">Title block information that identifies location, applicant, property owner, WECF owner/operator, and party responsible for preparing the plan.</w:t>
      </w:r>
    </w:p>
    <w:p>
      <w:pPr>
        <w:pStyle w:val="ListParagraph"/>
        <w:numPr>
          <w:ilvl w:val="3"/>
          <w:numId w:val="1"/>
        </w:numPr>
      </w:pPr>
      <w:r>
        <w:t xml:space="preserve">ii)</w:t>
      </w:r>
      <w:r>
        <w:tab/>
      </w:r>
      <w:r>
        <w:t xml:space="preserve">A table that compares all required dimensional requirements of this Section with those proposed for the WECF when an applicant seeks one of more dimensional waivers.</w:t>
      </w:r>
    </w:p>
    <w:p>
      <w:pPr>
        <w:pStyle w:val="ListParagraph"/>
        <w:numPr>
          <w:ilvl w:val="3"/>
          <w:numId w:val="1"/>
        </w:numPr>
      </w:pPr>
      <w:r>
        <w:t xml:space="preserve">iii)</w:t>
      </w:r>
      <w:r>
        <w:tab/>
      </w:r>
      <w:r>
        <w:t xml:space="preserve">Annotation(s) identifying all parcels and occupied buildings affected by waivers, if any.</w:t>
      </w:r>
    </w:p>
    <w:p>
      <w:pPr>
        <w:pStyle w:val="ListParagraph"/>
        <w:numPr>
          <w:ilvl w:val="3"/>
          <w:numId w:val="1"/>
        </w:numPr>
      </w:pPr>
      <w:r>
        <w:t xml:space="preserve">iv)</w:t>
      </w:r>
      <w:r>
        <w:tab/>
      </w:r>
      <w:r>
        <w:t xml:space="preserve">The boundary lines and dimensions of the subject property, existing subdivision lots, available utilities, easements, roadways, railroads, rail lines and public rights-of-way, crossing and adjacent to the subject property.</w:t>
      </w:r>
    </w:p>
    <w:p>
      <w:pPr>
        <w:pStyle w:val="ListParagraph"/>
        <w:numPr>
          <w:ilvl w:val="2"/>
          <w:numId w:val="1"/>
        </w:numPr>
      </w:pPr>
      <w:r>
        <w:t xml:space="preserve">v)</w:t>
      </w:r>
      <w:r>
        <w:tab/>
      </w:r>
      <w:r>
        <w:t xml:space="preserve">Any proposed re-grading of the subject property and any significant natural, topographical or physical features of the property including, at least, watercourses, marshes, floodplain and wetlands, trees in excess of nine (9) inches in diameter, soil types, and existing contours at two (2) feet in one hundred (100) feet. (Not Applicable to Small WECFs)</w:t>
      </w:r>
    </w:p>
    <w:p>
      <w:pPr>
        <w:pStyle w:val="ListParagraph"/>
        <w:numPr>
          <w:ilvl w:val="3"/>
          <w:numId w:val="1"/>
        </w:numPr>
      </w:pPr>
      <w:r>
        <w:t xml:space="preserve">vi)</w:t>
      </w:r>
      <w:r>
        <w:tab/>
      </w:r>
      <w:r>
        <w:t xml:space="preserve">Location of each wind turbine, WECF setback lines (measured at grade and depicted as a radius from the center of the wind turbine), access road and turnout locations, substation(s), electrical cabling from the WECF to substation(s), ancillary equipment, buildings, and structures, including permanent meteorological towers, associated transmission lines (including whether they are above or below ground).</w:t>
      </w:r>
    </w:p>
    <w:p>
      <w:pPr>
        <w:pStyle w:val="ListParagraph"/>
        <w:numPr>
          <w:ilvl w:val="3"/>
          <w:numId w:val="1"/>
        </w:numPr>
      </w:pPr>
      <w:r>
        <w:t xml:space="preserve">vii)</w:t>
      </w:r>
      <w:r>
        <w:tab/>
      </w:r>
      <w:r>
        <w:t xml:space="preserve">Layout of all existing buildings (including their use status - e.g., occupied buildings), and structures within the geographical boundaries of any applicable setback.</w:t>
      </w:r>
    </w:p>
    <w:p>
      <w:pPr>
        <w:pStyle w:val="ListParagraph"/>
        <w:numPr>
          <w:ilvl w:val="3"/>
          <w:numId w:val="1"/>
        </w:numPr>
      </w:pPr>
      <w:r>
        <w:t xml:space="preserve">viii)</w:t>
      </w:r>
      <w:r>
        <w:tab/>
      </w:r>
      <w:r>
        <w:t xml:space="preserve">All existing and proposed surface and subsurface drainage facilities, including detention or retention ponds. Drainage circulation with data on predevelopment and post-development condition should be provided. (Not Applicable for Small WECFs)</w:t>
      </w:r>
    </w:p>
    <w:p>
      <w:pPr>
        <w:pStyle w:val="ListParagraph"/>
        <w:numPr>
          <w:ilvl w:val="3"/>
          <w:numId w:val="1"/>
        </w:numPr>
      </w:pPr>
      <w:r>
        <w:t xml:space="preserve">ix)</w:t>
      </w:r>
      <w:r>
        <w:tab/>
      </w:r>
      <w:r>
        <w:t xml:space="preserve">Location and size of all signs (including emergency phone number signs) and lighting as it pertains to the WECF.</w:t>
      </w:r>
    </w:p>
    <w:p>
      <w:pPr>
        <w:pStyle w:val="ListParagraph"/>
        <w:numPr>
          <w:ilvl w:val="2"/>
          <w:numId w:val="1"/>
        </w:numPr>
      </w:pPr>
      <w:r>
        <w:t xml:space="preserve">x)</w:t>
      </w:r>
      <w:r>
        <w:tab/>
      </w:r>
      <w:r>
        <w:t xml:space="preserve">Proposed landscaping (noting how the existing vegetation is to be retained and used) including type, location and quantity of all plant materials, location and height of fences or screen plantings and the type or kind of building materials or plantings to be used for fencing and screening of the WECF.</w:t>
      </w:r>
    </w:p>
    <w:p>
      <w:pPr>
        <w:pStyle w:val="ListParagraph"/>
        <w:numPr>
          <w:ilvl w:val="3"/>
          <w:numId w:val="1"/>
        </w:numPr>
      </w:pPr>
      <w:r>
        <w:t xml:space="preserve">xi)</w:t>
      </w:r>
      <w:r>
        <w:tab/>
      </w:r>
      <w:r>
        <w:t xml:space="preserve">Methods and locations of erosion and sedimentation control devices used during and after construction of the WECF.</w:t>
      </w:r>
    </w:p>
    <w:p>
      <w:pPr>
        <w:pStyle w:val="ListParagraph"/>
        <w:numPr>
          <w:ilvl w:val="2"/>
          <w:numId w:val="1"/>
        </w:numPr>
      </w:pPr>
      <w:r>
        <w:t xml:space="preserve">d)</w:t>
      </w:r>
      <w:r>
        <w:tab/>
      </w:r>
      <w:r>
        <w:t xml:space="preserve">Wind Map: A map showing the wind characteristics of the general area and the dominant wind direction – the direction from which fifty (50) percent or more of the energy contained in the wind flows. (Not Applicable to Small WECFs)</w:t>
      </w:r>
    </w:p>
    <w:p>
      <w:pPr>
        <w:pStyle w:val="ListParagraph"/>
        <w:numPr>
          <w:ilvl w:val="2"/>
          <w:numId w:val="1"/>
        </w:numPr>
      </w:pPr>
      <w:r>
        <w:t xml:space="preserve">e)</w:t>
      </w:r>
      <w:r>
        <w:tab/>
      </w:r>
      <w:r>
        <w:t xml:space="preserve">Sightline Analysis: Photographs shall be provided depicting views from a reasonable number of key vantage points as determined by the applicant in consultation with the Division of Planning and Regulatory Services. Sites for the view representations shall be selected from areas within a two (2) mile radius of the site. (Not Applicable to Small WECFs)</w:t>
      </w:r>
    </w:p>
    <w:p>
      <w:pPr>
        <w:pStyle w:val="ListParagraph"/>
        <w:numPr>
          <w:ilvl w:val="2"/>
          <w:numId w:val="1"/>
        </w:numPr>
      </w:pPr>
      <w:r>
        <w:t xml:space="preserve">i)</w:t>
      </w:r>
      <w:r>
        <w:tab/>
      </w:r>
      <w:r>
        <w:t xml:space="preserve">Existing (before condition) photographs. Each sightline shall be illustrated by one (1) four-inch by six-inch color photograph of what can currently be seen from any public way within 300 feet of the subject property.</w:t>
      </w:r>
    </w:p>
    <w:p>
      <w:pPr>
        <w:pStyle w:val="ListParagraph"/>
        <w:numPr>
          <w:ilvl w:val="3"/>
          <w:numId w:val="1"/>
        </w:numPr>
      </w:pPr>
      <w:r>
        <w:t xml:space="preserve">ii)</w:t>
      </w:r>
      <w:r>
        <w:tab/>
      </w:r>
      <w:r>
        <w:t xml:space="preserve">Proposed (after condition) photographs. Each of the existing condition photographs shall have the proposed WECF superimposed on it to show what will be seen from public roads if the proposed facility is built.</w:t>
      </w:r>
    </w:p>
    <w:p>
      <w:pPr>
        <w:pStyle w:val="ListParagraph"/>
        <w:numPr>
          <w:ilvl w:val="3"/>
          <w:numId w:val="1"/>
        </w:numPr>
      </w:pPr>
      <w:r>
        <w:t xml:space="preserve">iii)</w:t>
      </w:r>
      <w:r>
        <w:tab/>
      </w:r>
      <w:r>
        <w:t xml:space="preserve">A sightline map depicting the points from which sightline photographs were taken.</w:t>
      </w:r>
    </w:p>
    <w:p>
      <w:pPr>
        <w:pStyle w:val="ListParagraph"/>
        <w:numPr>
          <w:ilvl w:val="3"/>
          <w:numId w:val="1"/>
        </w:numPr>
      </w:pPr>
      <w:r>
        <w:t xml:space="preserve">iv)</w:t>
      </w:r>
      <w:r>
        <w:tab/>
      </w:r>
      <w:r>
        <w:t xml:space="preserve">A description of the technical procedures followed in producing the visualization (distances, angles, lens, etc.).</w:t>
      </w:r>
    </w:p>
    <w:p>
      <w:pPr>
        <w:pStyle w:val="ListParagraph"/>
        <w:numPr>
          <w:ilvl w:val="2"/>
          <w:numId w:val="1"/>
        </w:numPr>
      </w:pPr>
      <w:r>
        <w:t xml:space="preserve">f)</w:t>
      </w:r>
      <w:r>
        <w:tab/>
      </w:r>
      <w:r>
        <w:t xml:space="preserve">Balloon or Crane Test: The applicant will provide a statement proposing a date, time and location of such test. (Not Applicable to Small WECFs)</w:t>
      </w:r>
    </w:p>
    <w:p>
      <w:pPr>
        <w:pStyle w:val="ListParagraph"/>
        <w:numPr>
          <w:ilvl w:val="2"/>
          <w:numId w:val="1"/>
        </w:numPr>
      </w:pPr>
      <w:r>
        <w:t xml:space="preserve">i)</w:t>
      </w:r>
      <w:r>
        <w:tab/>
      </w:r>
      <w:r>
        <w:t xml:space="preserve">Within ten (10) days of filing an application, the applicant shall arrange with the Division of Planning and Regulatory Services for a balloon or crane test at the proposed site to illustrate the height of the proposed WECF. The date, time and location of such test shall be advertised by the applicant in a newspaper of general circulation in the City of Worcester at least seven (7) days, but not more than fourteen (14) days prior to the test. Evidence of this advertisement must be provided to the SPGA at the time of public hearing.</w:t>
      </w:r>
    </w:p>
    <w:p>
      <w:pPr>
        <w:pStyle w:val="ListParagraph"/>
        <w:numPr>
          <w:ilvl w:val="2"/>
          <w:numId w:val="1"/>
        </w:numPr>
      </w:pPr>
      <w:r>
        <w:t xml:space="preserve">g)</w:t>
      </w:r>
      <w:r>
        <w:tab/>
      </w:r>
      <w:r>
        <w:t xml:space="preserve">Compliance Certificates and Statements:</w:t>
      </w:r>
    </w:p>
    <w:p>
      <w:pPr>
        <w:pStyle w:val="ListParagraph"/>
        <w:numPr>
          <w:ilvl w:val="2"/>
          <w:numId w:val="1"/>
        </w:numPr>
      </w:pPr>
      <w:r>
        <w:t xml:space="preserve">i)</w:t>
      </w:r>
      <w:r>
        <w:tab/>
      </w:r>
      <w:r>
        <w:t xml:space="preserve">Certificate(s) of design compliance obtained from the equipment manufacturers that the system’s wind turbine and other components meet or exceed the standards of one of the following national and international certification programs: American National Standards Institute (ANSI), Det Norske Veritas Germanishcer Llloyd Wind Energies, International Electrotechnical Commission (IEC), National Electrical Code (NEC), Underwriters Laboratories (UL), or other certification program recognized by the American Wind Energy Association.</w:t>
      </w:r>
    </w:p>
    <w:p>
      <w:pPr>
        <w:pStyle w:val="ListParagraph"/>
        <w:numPr>
          <w:ilvl w:val="3"/>
          <w:numId w:val="1"/>
        </w:numPr>
      </w:pPr>
      <w:r>
        <w:t xml:space="preserve">ii)</w:t>
      </w:r>
      <w:r>
        <w:tab/>
      </w:r>
      <w:r>
        <w:t xml:space="preserve">Standard drawings and a structural engineering analysis of tower(s) showing compliance with applicable Massachusetts State Building Codes and certification by a Commonwealth of Massachusetts licensed professional engineer.</w:t>
      </w:r>
    </w:p>
    <w:p>
      <w:pPr>
        <w:pStyle w:val="ListParagraph"/>
        <w:numPr>
          <w:ilvl w:val="3"/>
          <w:numId w:val="1"/>
        </w:numPr>
      </w:pPr>
      <w:r>
        <w:t xml:space="preserve">iii)</w:t>
      </w:r>
      <w:r>
        <w:tab/>
      </w:r>
      <w:r>
        <w:t xml:space="preserve">A determination from the Federal Aviation Administration of no hazard to air navigation, and that the WECF as proposed complies with all applicable Federal Aviation Administration regulations. (Not Applicable to Small WECFs unless height waiver is requested or, is located within an A-1 District, Airport Environs Overlay District, or both.)</w:t>
      </w:r>
    </w:p>
    <w:p>
      <w:pPr>
        <w:pStyle w:val="ListParagraph"/>
        <w:numPr>
          <w:ilvl w:val="3"/>
          <w:numId w:val="1"/>
        </w:numPr>
      </w:pPr>
      <w:r>
        <w:t xml:space="preserve">iv)</w:t>
      </w:r>
      <w:r>
        <w:tab/>
      </w:r>
      <w:r>
        <w:t xml:space="preserve">The applicant shall provide a statement certified and signed by an acoustical engineer stating that the sound estimates and measurements provided meet industry professional standards for accuracy, and that the WECF as proposed will be in conformance with the performance standards of this Section related to sound. (Not Applicable to Small WECF)</w:t>
      </w:r>
    </w:p>
    <w:p>
      <w:pPr>
        <w:pStyle w:val="ListParagraph"/>
        <w:numPr>
          <w:ilvl w:val="2"/>
          <w:numId w:val="1"/>
        </w:numPr>
      </w:pPr>
      <w:r>
        <w:t xml:space="preserve">v)</w:t>
      </w:r>
      <w:r>
        <w:tab/>
      </w:r>
      <w:r>
        <w:t xml:space="preserve">Evidence that the proposed hub height and turbine height do not exceed the height recommended by the manufacturer or distributor of the wind energy conversion system.</w:t>
      </w:r>
    </w:p>
    <w:p>
      <w:pPr>
        <w:pStyle w:val="ListParagraph"/>
        <w:numPr>
          <w:ilvl w:val="3"/>
          <w:numId w:val="1"/>
        </w:numPr>
      </w:pPr>
      <w:r>
        <w:t xml:space="preserve">vi)</w:t>
      </w:r>
      <w:r>
        <w:tab/>
      </w:r>
      <w:r>
        <w:t xml:space="preserve">Evidence, certified by the manufacturer, that the WECF and its accessory equipment is in conformance, as applicable, with the Regulations of the Federal Communication Commission (47 CFR Part 15 as revised) relating to harmful interference with radio or television reception.</w:t>
      </w:r>
    </w:p>
    <w:p>
      <w:pPr>
        <w:pStyle w:val="ListParagraph"/>
        <w:numPr>
          <w:ilvl w:val="2"/>
          <w:numId w:val="1"/>
        </w:numPr>
      </w:pPr>
      <w:r>
        <w:t xml:space="preserve">h)</w:t>
      </w:r>
      <w:r>
        <w:tab/>
      </w:r>
      <w:r>
        <w:t xml:space="preserve">Maintenance Plan: The applicant shall provide a detailed maintenance plan in accordance with manufacturer’s specifications and all governmental regulations to ensure the safe operation of the WECF. Plan shall include but not be limited to: preventative and periodic maintenance, routine checks and testing, and cleaning, associated with all structural, electrical and mechanical components of the WECF.</w:t>
      </w:r>
    </w:p>
    <w:p>
      <w:pPr>
        <w:pStyle w:val="ListParagraph"/>
        <w:numPr>
          <w:ilvl w:val="2"/>
          <w:numId w:val="1"/>
        </w:numPr>
      </w:pPr>
      <w:r>
        <w:t xml:space="preserve">i)</w:t>
      </w:r>
      <w:r>
        <w:tab/>
      </w:r>
      <w:r>
        <w:t xml:space="preserve">Notifications: The applicant shall provide notification letters and evidence that a notice to construct a WECF has been received by the appropriate electric utility company and the Federal Aviation Administration.</w:t>
      </w:r>
    </w:p>
    <w:p>
      <w:pPr>
        <w:pStyle w:val="ListParagraph"/>
        <w:numPr>
          <w:ilvl w:val="2"/>
          <w:numId w:val="1"/>
        </w:numPr>
      </w:pPr>
      <w:r>
        <w:t xml:space="preserve">i)</w:t>
      </w:r>
      <w:r>
        <w:tab/>
      </w:r>
      <w:r>
        <w:t xml:space="preserve">Sound Assessment:</w:t>
      </w:r>
    </w:p>
    <w:p>
      <w:pPr>
        <w:pStyle w:val="ListParagraph"/>
        <w:numPr>
          <w:ilvl w:val="2"/>
          <w:numId w:val="1"/>
        </w:numPr>
      </w:pPr>
      <w:r>
        <w:t xml:space="preserve">i)</w:t>
      </w:r>
      <w:r>
        <w:tab/>
      </w:r>
      <w:r>
        <w:t xml:space="preserve">The applicant shall provide a report estimating current ambient sound at appropriate locations and maximum projected sound from the proposed WECF, measured in dB(A) (decibels A-weighted), including but not limited to the following: (Not Applicable to Small WECF) (aa) An estimation or measurement of the existing ambient background sound levels. (bb) Identification of a model for sound propagation (sound modeling software will include a propagation model). (cc) A prediction or measurement of sound levels from the WECF(s) at the nearest non-participating landowner’s occupied building(s), at all participating landowner’s occupied building(s), and the nearest property line. (dd) A comparison of calculated sound pressure levels from the WECF with background sound pressure levels at the locations of concern. (ee) An estimate of the maximum total sound in the environment after the WECF is operational. (ff) All sound data and information provided by the wind turbine manufacturer.</w:t>
      </w:r>
    </w:p>
    <w:p>
      <w:pPr>
        <w:pStyle w:val="ListParagraph"/>
        <w:numPr>
          <w:ilvl w:val="3"/>
          <w:numId w:val="1"/>
        </w:numPr>
      </w:pPr>
      <w:r>
        <w:t xml:space="preserve">ii)</w:t>
      </w:r>
      <w:r>
        <w:tab/>
      </w:r>
      <w:r>
        <w:t xml:space="preserve">For Small WECFs the applicant shall provide a letter or report from the WECF manufacturer indicating compliance with sound standards of this ordinance as they relate to Small WECFs.</w:t>
      </w:r>
    </w:p>
    <w:p>
      <w:pPr>
        <w:pStyle w:val="ListParagraph"/>
        <w:numPr>
          <w:ilvl w:val="2"/>
          <w:numId w:val="1"/>
        </w:numPr>
      </w:pPr>
      <w:r>
        <w:t xml:space="preserve">j)</w:t>
      </w:r>
      <w:r>
        <w:tab/>
      </w:r>
      <w:r>
        <w:t xml:space="preserve">Shadow Flicker Assessment: The applicant shall provide a report estimating the area of shadow flicker from wind turbine(s). (Not Applicable to Small WECF)</w:t>
      </w:r>
    </w:p>
    <w:p>
      <w:pPr>
        <w:pStyle w:val="ListParagraph"/>
        <w:numPr>
          <w:ilvl w:val="2"/>
          <w:numId w:val="1"/>
        </w:numPr>
      </w:pPr>
      <w:r>
        <w:t xml:space="preserve">k)</w:t>
      </w:r>
      <w:r>
        <w:tab/>
      </w:r>
      <w:r>
        <w:t xml:space="preserve">Environmental and Wildlife Impact Assessment: The applicant shall provide a report assessing the impact of the proposed project on avian and non-avian wildlife, public safety, quality of life, culturally/historically significant areas, scenic areas, sedimentation, runoff and watershed. As part of these assessments the applicant shall consult the local chapter of the Audubon Society prior to application. (Not Applicable to Small WECF)</w:t>
      </w:r>
    </w:p>
    <w:p>
      <w:pPr>
        <w:pStyle w:val="ListParagraph"/>
        <w:numPr>
          <w:ilvl w:val="2"/>
          <w:numId w:val="1"/>
        </w:numPr>
      </w:pPr>
      <w:r>
        <w:t xml:space="preserve">l)</w:t>
      </w:r>
      <w:r>
        <w:tab/>
      </w:r>
      <w:r>
        <w:t xml:space="preserve">Waiver Requests and Supporting Documentation: The applicant shall provide all waiver requests along with supporting agreement documentation as required under this Section.</w:t>
      </w:r>
    </w:p>
    <w:p>
      <w:pPr>
        <w:pStyle w:val="ListParagraph"/>
        <w:numPr>
          <w:ilvl w:val="2"/>
          <w:numId w:val="1"/>
        </w:numPr>
      </w:pPr>
      <w:r>
        <w:t xml:space="preserve">m)</w:t>
      </w:r>
      <w:r>
        <w:tab/>
      </w:r>
      <w:r>
        <w:t xml:space="preserve">Documents related to decommissioning: The applicant, if other than the property owner, shall provide an affidavit signed by the property owner that he/she understands and acknowledges the provisions of subsection N(2)(d), above.</w:t>
      </w:r>
    </w:p>
    <w:p>
      <w:pPr>
        <w:pStyle w:val="ListParagraph"/>
        <w:numPr>
          <w:ilvl w:val="2"/>
          <w:numId w:val="1"/>
        </w:numPr>
      </w:pPr>
      <w:r>
        <w:t xml:space="preserve">n)</w:t>
      </w:r>
      <w:r>
        <w:tab/>
      </w:r>
      <w:r>
        <w:t xml:space="preserve">Fees: The permit application or amended permit application shall be accompanied with a fee in accordance with the SPGA’s fee schedule, as revised.</w:t>
      </w:r>
    </w:p>
    <w:p>
      <w:pPr>
        <w:pStyle w:val="ListParagraph"/>
        <w:numPr>
          <w:ilvl w:val="2"/>
          <w:numId w:val="1"/>
        </w:numPr>
      </w:pPr>
      <w:r>
        <w:t xml:space="preserve">o)</w:t>
      </w:r>
      <w:r>
        <w:tab/>
      </w:r>
      <w:r>
        <w:t xml:space="preserve">Other Information: Other relevant studies, reports, certifications and approvals as may be reasonably requested by the SPGA to ensure compliance with this Section and the Zoning Ordinance.</w:t>
      </w:r>
    </w:p>
    <w:p>
      <w:pPr>
        <w:pStyle w:val="ListParagraph"/>
        <w:numPr>
          <w:ilvl w:val="2"/>
          <w:numId w:val="1"/>
        </w:numPr>
      </w:pPr>
      <w:r>
        <w:t xml:space="preserve">p)</w:t>
      </w:r>
      <w:r>
        <w:tab/>
      </w:r>
      <w:r>
        <w:t xml:space="preserve">Application Requirement Waivers: Upon written request, the SPGA may waive one or more of the application requirements listed above if the SPGA determines, in its discretion, that the information is not needed to consider a specific WECF.</w:t>
      </w:r>
    </w:p>
    <w:p>
      <w:pPr>
        <w:pStyle w:val="ListParagraph"/>
        <w:numPr>
          <w:ilvl w:val="0"/>
          <w:numId w:val="1"/>
        </w:numPr>
      </w:pPr>
      <w:r>
        <w:t xml:space="preserve">S.</w:t>
      </w:r>
      <w:r>
        <w:tab/>
      </w:r>
      <w:r>
        <w:t xml:space="preserve">Building Permit Application Requirements</w:t>
      </w:r>
    </w:p>
    <w:p>
      <w:pPr>
        <w:pStyle w:val="ListParagraph"/>
        <w:numPr>
          <w:ilvl w:val="1"/>
          <w:numId w:val="1"/>
        </w:numPr>
      </w:pPr>
      <w:r>
        <w:t xml:space="preserve">1.</w:t>
      </w:r>
      <w:r>
        <w:tab/>
      </w:r>
      <w:r>
        <w:t xml:space="preserve">All by-right WECFs shall provide the following information at the time of application for a building permit:</w:t>
      </w:r>
    </w:p>
    <w:p>
      <w:pPr>
        <w:pStyle w:val="ListParagraph"/>
        <w:numPr>
          <w:ilvl w:val="2"/>
          <w:numId w:val="1"/>
        </w:numPr>
      </w:pPr>
      <w:r>
        <w:t xml:space="preserve">a)</w:t>
      </w:r>
      <w:r>
        <w:tab/>
      </w:r>
      <w:r>
        <w:t xml:space="preserve">Project Overview: A narrative describing the proposed WECF including an overview of the project with the following information: the project location, the number, representative types, generating capacity, cut-in and cut-out wind speed, overspeed controls, materials, dimensions and respective manufacturers of each wind turbine to be constructed, and a detailed description of all ancillary facilities.</w:t>
      </w:r>
    </w:p>
    <w:p>
      <w:pPr>
        <w:pStyle w:val="ListParagraph"/>
        <w:numPr>
          <w:ilvl w:val="2"/>
          <w:numId w:val="1"/>
        </w:numPr>
      </w:pPr>
      <w:r>
        <w:t xml:space="preserve">b)</w:t>
      </w:r>
      <w:r>
        <w:tab/>
      </w:r>
      <w:r>
        <w:t xml:space="preserve">Site Plan: A site plan to a scale of not less than forty (40) feet to the inch, on one or more sheets, prepared by a registered engineer, and indicate the scale used, a north arrow, legend or annotation (for each symbol used), and identify the sheet number in sequence. Use separate sheets for various layers as appropriate to improve clarity</w:t>
      </w:r>
    </w:p>
    <w:p>
      <w:pPr>
        <w:pStyle w:val="ListParagraph"/>
        <w:numPr>
          <w:ilvl w:val="3"/>
          <w:numId w:val="1"/>
        </w:numPr>
      </w:pPr>
      <w:r>
        <w:t xml:space="preserve">–</w:t>
      </w:r>
      <w:r>
        <w:tab/>
      </w:r>
      <w:r>
        <w:t xml:space="preserve">include overview sheet with all layers. The site plan shall also include the following information:</w:t>
      </w:r>
    </w:p>
    <w:p>
      <w:pPr>
        <w:pStyle w:val="ListParagraph"/>
        <w:numPr>
          <w:ilvl w:val="2"/>
          <w:numId w:val="1"/>
        </w:numPr>
      </w:pPr>
      <w:r>
        <w:t xml:space="preserve">i)</w:t>
      </w:r>
      <w:r>
        <w:tab/>
      </w:r>
      <w:r>
        <w:t xml:space="preserve">Title block information that identifies location, applicant, property owner, WECF owner/operator, and party responsible for preparing the plan.</w:t>
      </w:r>
    </w:p>
    <w:p>
      <w:pPr>
        <w:pStyle w:val="ListParagraph"/>
        <w:numPr>
          <w:ilvl w:val="3"/>
          <w:numId w:val="1"/>
        </w:numPr>
      </w:pPr>
      <w:r>
        <w:t xml:space="preserve">ii)</w:t>
      </w:r>
      <w:r>
        <w:tab/>
      </w:r>
      <w:r>
        <w:t xml:space="preserve">The boundary lines and dimensions of the subject property, existing subdivision lots, available utilities, easements, roadways, railroads, rail lines and public rights-of-way, crossing and adjacent to the subject property.</w:t>
      </w:r>
    </w:p>
    <w:p>
      <w:pPr>
        <w:pStyle w:val="ListParagraph"/>
        <w:numPr>
          <w:ilvl w:val="3"/>
          <w:numId w:val="1"/>
        </w:numPr>
      </w:pPr>
      <w:r>
        <w:t xml:space="preserve">iii)</w:t>
      </w:r>
      <w:r>
        <w:tab/>
      </w:r>
      <w:r>
        <w:t xml:space="preserve">Location of each wind turbine, WECF setback lines (measured at grade and depicted as a radius from the center of the wind turbine), access road and turnout locations, substation(s), electrical cabling from the WECF to substation(s), ancillary equipment, buildings, and structures, including permanent meteorological towers, associated transmission lines (including whether they are above or below ground).</w:t>
      </w:r>
    </w:p>
    <w:p>
      <w:pPr>
        <w:pStyle w:val="ListParagraph"/>
        <w:numPr>
          <w:ilvl w:val="3"/>
          <w:numId w:val="1"/>
        </w:numPr>
      </w:pPr>
      <w:r>
        <w:t xml:space="preserve">iv)</w:t>
      </w:r>
      <w:r>
        <w:tab/>
      </w:r>
      <w:r>
        <w:t xml:space="preserve">Layout of all existing buildings (including their use status - e.g., occupied buildings), and structures within the geographical boundaries of any applicable setback.</w:t>
      </w:r>
    </w:p>
    <w:p>
      <w:pPr>
        <w:pStyle w:val="ListParagraph"/>
        <w:numPr>
          <w:ilvl w:val="2"/>
          <w:numId w:val="1"/>
        </w:numPr>
      </w:pPr>
      <w:r>
        <w:t xml:space="preserve">v)</w:t>
      </w:r>
      <w:r>
        <w:tab/>
      </w:r>
      <w:r>
        <w:t xml:space="preserve">Location and size of all signs (including emergency phone number signs) and lighting as it pertains to the WECF.</w:t>
      </w:r>
    </w:p>
    <w:p>
      <w:pPr>
        <w:pStyle w:val="ListParagraph"/>
        <w:numPr>
          <w:ilvl w:val="3"/>
          <w:numId w:val="1"/>
        </w:numPr>
      </w:pPr>
      <w:r>
        <w:t xml:space="preserve">vi)</w:t>
      </w:r>
      <w:r>
        <w:tab/>
      </w:r>
      <w:r>
        <w:t xml:space="preserve">Proposed landscaping (noting how the existing vegetation is to be retained and used) including type, location and quantity of all plant materials, location and height of fences or screen plantings and the type or kind of building materials or plantings to be used for fencing and screening of the WECF.</w:t>
      </w:r>
    </w:p>
    <w:p>
      <w:pPr>
        <w:pStyle w:val="ListParagraph"/>
        <w:numPr>
          <w:ilvl w:val="3"/>
          <w:numId w:val="1"/>
        </w:numPr>
      </w:pPr>
      <w:r>
        <w:t xml:space="preserve">vii)</w:t>
      </w:r>
      <w:r>
        <w:tab/>
      </w:r>
      <w:r>
        <w:t xml:space="preserve">Methods and locations of erosion and sedimentation control devices used during and after construction of the WECF.</w:t>
      </w:r>
    </w:p>
    <w:p>
      <w:pPr>
        <w:pStyle w:val="ListParagraph"/>
        <w:numPr>
          <w:ilvl w:val="2"/>
          <w:numId w:val="1"/>
        </w:numPr>
      </w:pPr>
      <w:r>
        <w:t xml:space="preserve">c)</w:t>
      </w:r>
      <w:r>
        <w:tab/>
      </w:r>
      <w:r>
        <w:t xml:space="preserve">Compliance Certificates and Statements:</w:t>
      </w:r>
    </w:p>
    <w:p>
      <w:pPr>
        <w:pStyle w:val="ListParagraph"/>
        <w:numPr>
          <w:ilvl w:val="2"/>
          <w:numId w:val="1"/>
        </w:numPr>
      </w:pPr>
      <w:r>
        <w:t xml:space="preserve">i)</w:t>
      </w:r>
      <w:r>
        <w:tab/>
      </w:r>
      <w:r>
        <w:t xml:space="preserve">Certificate(s) of design compliance obtained from the equipment manufacturers that the system’s wind turbine and other components meet or exceed the standards of one of the following national and international certification programs: American National Standards Institute (ANSI), Det Norske Veritas Germanishcer Llloyd Wind Energies, International Electrotechnical Commission (IEC), National Electrical Code (NEC), Underwriters Laboratories (UL), or other certification program recognized by the American Wind Energy Association.</w:t>
      </w:r>
    </w:p>
    <w:p>
      <w:pPr>
        <w:pStyle w:val="ListParagraph"/>
        <w:numPr>
          <w:ilvl w:val="3"/>
          <w:numId w:val="1"/>
        </w:numPr>
      </w:pPr>
      <w:r>
        <w:t xml:space="preserve">ii)</w:t>
      </w:r>
      <w:r>
        <w:tab/>
      </w:r>
      <w:r>
        <w:t xml:space="preserve">Standard drawings and a structural engineering analysis of tower(s) showing compliance with applicable Massachusetts State Building Codes and certification by a Commonwealth of Massachusetts licensed professional engineer.</w:t>
      </w:r>
    </w:p>
    <w:p>
      <w:pPr>
        <w:pStyle w:val="ListParagraph"/>
        <w:numPr>
          <w:ilvl w:val="3"/>
          <w:numId w:val="1"/>
        </w:numPr>
      </w:pPr>
      <w:r>
        <w:t xml:space="preserve">iii)</w:t>
      </w:r>
      <w:r>
        <w:tab/>
      </w:r>
      <w:r>
        <w:t xml:space="preserve">A determination from the Federal Aviation Administration of no hazard to air navigation, and that the WECF as proposed complies with all applicable Federal Aviation Administration regulations. (Not Applicable to Small WECFs unless located within an A-1 District or the Airport Environs Overlay Zone.)</w:t>
      </w:r>
    </w:p>
    <w:p>
      <w:pPr>
        <w:pStyle w:val="ListParagraph"/>
        <w:numPr>
          <w:ilvl w:val="3"/>
          <w:numId w:val="1"/>
        </w:numPr>
      </w:pPr>
      <w:r>
        <w:t xml:space="preserve">iv)</w:t>
      </w:r>
      <w:r>
        <w:tab/>
      </w:r>
      <w:r>
        <w:t xml:space="preserve">Evidence that the proposed hub height and turbine height do not exceed the height recommended by the manufacturer or distributor of the wind energy conversion system.</w:t>
      </w:r>
    </w:p>
    <w:p>
      <w:pPr>
        <w:pStyle w:val="ListParagraph"/>
        <w:numPr>
          <w:ilvl w:val="2"/>
          <w:numId w:val="1"/>
        </w:numPr>
      </w:pPr>
      <w:r>
        <w:t xml:space="preserve">v)</w:t>
      </w:r>
      <w:r>
        <w:tab/>
      </w:r>
      <w:r>
        <w:t xml:space="preserve">Evidence, certified by the manufacturer, that the WECF and its accessory equipment is in conformance, as applicable, with the Regulations of the Federal Communication Commission (47 CFR Part 15 as revised) relating to harmful interference with radio or television reception.</w:t>
      </w:r>
    </w:p>
    <w:p>
      <w:pPr>
        <w:pStyle w:val="ListParagraph"/>
        <w:numPr>
          <w:ilvl w:val="2"/>
          <w:numId w:val="1"/>
        </w:numPr>
      </w:pPr>
      <w:r>
        <w:t xml:space="preserve">d)</w:t>
      </w:r>
      <w:r>
        <w:tab/>
      </w:r>
      <w:r>
        <w:t xml:space="preserve">Maintenance Plan: The applicant shall provide a detailed maintenance plan in accordance with manufacturer’s specifications and all governmental regulations to ensure the safe operation of the WECF. Plan shall include but not be limited to: preventative and periodic maintenance, routine checks and testing, and cleaning, associated with all structural, electrical and mechanical components of the WECF.</w:t>
      </w:r>
    </w:p>
    <w:p>
      <w:pPr>
        <w:pStyle w:val="ListParagraph"/>
        <w:numPr>
          <w:ilvl w:val="2"/>
          <w:numId w:val="1"/>
        </w:numPr>
      </w:pPr>
      <w:r>
        <w:t xml:space="preserve">e)</w:t>
      </w:r>
      <w:r>
        <w:tab/>
      </w:r>
      <w:r>
        <w:t xml:space="preserve">Notifications: The applicant shall provide notification letters and evidence that a notice to construct a WECF has been received by the appropriate electric utility company and the Federal Aviation Administration.</w:t>
      </w:r>
    </w:p>
    <w:p>
      <w:pPr>
        <w:pStyle w:val="ListParagraph"/>
        <w:numPr>
          <w:ilvl w:val="2"/>
          <w:numId w:val="1"/>
        </w:numPr>
      </w:pPr>
      <w:r>
        <w:t xml:space="preserve">f)</w:t>
      </w:r>
      <w:r>
        <w:tab/>
      </w:r>
      <w:r>
        <w:t xml:space="preserve">Sound Assessment: Adequate evidence that the proposed installation is compliant with the applicable sound standards of this Section.</w:t>
      </w:r>
    </w:p>
    <w:p>
      <w:pPr>
        <w:pStyle w:val="ListParagraph"/>
        <w:numPr>
          <w:ilvl w:val="2"/>
          <w:numId w:val="1"/>
        </w:numPr>
      </w:pPr>
      <w:r>
        <w:t xml:space="preserve">g)</w:t>
      </w:r>
      <w:r>
        <w:tab/>
      </w:r>
      <w:r>
        <w:t xml:space="preserve">Documents related to decommissioning: The applicant, if other than the property owner, shall provide an affidavit signed by the property owner that he/she understands and acknowledges the provisions of subsection N(2)(d), above.</w:t>
      </w:r>
    </w:p>
    <w:p>
      <w:pPr>
        <w:pStyle w:val="ListParagraph"/>
        <w:numPr>
          <w:ilvl w:val="2"/>
          <w:numId w:val="1"/>
        </w:numPr>
      </w:pPr>
      <w:r>
        <w:t xml:space="preserve">h)</w:t>
      </w:r>
      <w:r>
        <w:tab/>
      </w:r>
      <w:r>
        <w:t xml:space="preserve">Other Information: Other relevant studies, reports, certifications and approvals as may be reasonably requested by the Director of Code Enforcement to ensure compliance with this Section and the Zoning Ordinance.</w:t>
      </w:r>
    </w:p>
    <w:p>
      <w:pPr>
        <w:pStyle w:val="Heading3"/>
      </w:pPr>
      <w:r>
        <w:t xml:space="preserve">§ 14. Adaptive Re-Use of Public or Non-Profit School Buildings</w:t>
      </w:r>
    </w:p>
    <w:p>
      <w:pPr>
        <w:pStyle w:val="ListParagraph"/>
        <w:numPr>
          <w:ilvl w:val="0"/>
          <w:numId w:val="1"/>
        </w:numPr>
      </w:pPr>
      <w:r>
        <w:t xml:space="preserve">A.</w:t>
      </w:r>
      <w:r>
        <w:tab/>
      </w:r>
      <w:r>
        <w:t xml:space="preserve">In Residential and Business districts, school buildings as defined in Paragraph B below, may, if not otherwise permitted as of right, be converted to multi-family dwelling use upon the grant of a special permit by the Planning Board under this section notwithstanding any provisions of Table 4.1, to the contrary.</w:t>
      </w:r>
    </w:p>
    <w:p>
      <w:pPr>
        <w:pStyle w:val="ListParagraph"/>
        <w:numPr>
          <w:ilvl w:val="1"/>
          <w:numId w:val="1"/>
        </w:numPr>
      </w:pPr>
      <w:r>
        <w:t xml:space="preserve">1.</w:t>
      </w:r>
      <w:r>
        <w:tab/>
      </w:r>
      <w:r>
        <w:t xml:space="preserve">The total square footage of a converted building may be increased up to a maximum of thirty percent.</w:t>
      </w:r>
    </w:p>
    <w:p>
      <w:pPr>
        <w:pStyle w:val="ListParagraph"/>
        <w:numPr>
          <w:ilvl w:val="1"/>
          <w:numId w:val="1"/>
        </w:numPr>
      </w:pPr>
      <w:r>
        <w:t xml:space="preserve">2.</w:t>
      </w:r>
      <w:r>
        <w:tab/>
      </w:r>
      <w:r>
        <w:t xml:space="preserve">New construction shall be of similar materials and appearance to that of the existing building.</w:t>
      </w:r>
    </w:p>
    <w:p>
      <w:pPr>
        <w:pStyle w:val="ListParagraph"/>
        <w:numPr>
          <w:ilvl w:val="1"/>
          <w:numId w:val="1"/>
        </w:numPr>
      </w:pPr>
      <w:r>
        <w:t xml:space="preserve">3.</w:t>
      </w:r>
      <w:r>
        <w:tab/>
      </w:r>
      <w:r>
        <w:t xml:space="preserve">The dimensional and parking requirements of this Ordinance may be altered in conjunction with the grant of a special permit under this section.</w:t>
      </w:r>
    </w:p>
    <w:p>
      <w:pPr>
        <w:pStyle w:val="ListParagraph"/>
        <w:numPr>
          <w:ilvl w:val="1"/>
          <w:numId w:val="1"/>
        </w:numPr>
      </w:pPr>
      <w:r>
        <w:t xml:space="preserve">4.</w:t>
      </w:r>
      <w:r>
        <w:tab/>
      </w:r>
      <w:r>
        <w:t xml:space="preserve">Any project which receives a special permit under this section shall be deemed to have also received site plan or parking plan approval, as may otherwise be required. However, each application for a special permit under this section shall be accompanied by such plans and information as would be otherwise required for site plan or parking plan approval, as applicable.</w:t>
      </w:r>
    </w:p>
    <w:p>
      <w:pPr>
        <w:pStyle w:val="ListParagraph"/>
        <w:numPr>
          <w:ilvl w:val="0"/>
          <w:numId w:val="1"/>
        </w:numPr>
      </w:pPr>
      <w:r>
        <w:t xml:space="preserve">B.</w:t>
      </w:r>
      <w:r>
        <w:tab/>
      </w:r>
      <w:r>
        <w:t xml:space="preserve">A building shall be eligible for a special permit under this section if it was in existence and used as part of a public or non-profit school prior to January 1, 1950.</w:t>
      </w:r>
    </w:p>
    <w:p>
      <w:pPr>
        <w:pStyle w:val="ListParagraph"/>
        <w:numPr>
          <w:ilvl w:val="0"/>
          <w:numId w:val="1"/>
        </w:numPr>
      </w:pPr>
      <w:r>
        <w:t xml:space="preserve">C.</w:t>
      </w:r>
      <w:r>
        <w:tab/>
      </w:r>
      <w:r>
        <w:t xml:space="preserve">In addition to its special permit criteria in Article II, the Planning Board shall also consider the project’s conformance with the following planning and design objectives:</w:t>
      </w:r>
    </w:p>
    <w:p>
      <w:pPr>
        <w:pStyle w:val="ListParagraph"/>
        <w:numPr>
          <w:ilvl w:val="1"/>
          <w:numId w:val="1"/>
        </w:numPr>
      </w:pPr>
      <w:r>
        <w:t xml:space="preserve">1.</w:t>
      </w:r>
      <w:r>
        <w:tab/>
      </w:r>
      <w:r>
        <w:t xml:space="preserve">The project’s treatment of public space, including walkways and pedestrian access to the building(s); and</w:t>
      </w:r>
    </w:p>
    <w:p>
      <w:pPr>
        <w:pStyle w:val="ListParagraph"/>
        <w:numPr>
          <w:ilvl w:val="1"/>
          <w:numId w:val="1"/>
        </w:numPr>
      </w:pPr>
      <w:r>
        <w:t xml:space="preserve">2.</w:t>
      </w:r>
      <w:r>
        <w:tab/>
      </w:r>
      <w:r>
        <w:t xml:space="preserve">Maintenance of a historically appropriate exterior and building façade.</w:t>
      </w:r>
    </w:p>
    <w:p>
      <w:pPr>
        <w:pStyle w:val="Heading3"/>
      </w:pPr>
      <w:r>
        <w:t xml:space="preserve">§ 15. Adult Use Marijuana</w:t>
      </w:r>
    </w:p>
    <w:p>
      <w:pPr>
        <w:pStyle w:val="ListParagraph"/>
        <w:numPr>
          <w:ilvl w:val="0"/>
          <w:numId w:val="1"/>
        </w:numPr>
      </w:pPr>
      <w:r>
        <w:t xml:space="preserve">A.</w:t>
      </w:r>
      <w:r>
        <w:tab/>
      </w:r>
      <w:r>
        <w:t xml:space="preserve">Purpose and Intent The purpose of this Section is to provide for adult use marijuana establishments in the city of Worcester, in accordance with M.G.L. c. 94G and its implementing regulations at 935 CMR 500. It is the express purpose and intent of this Ordinance to minimize the adverse impacts adult use marijuana establishments may have on adjacent properties and to provide standards for the placement, design, siting, safety, security, monitoring, modification and discontinuance of adult use marijuana establishments subject to reasonable conditions that will protect the public health, safety and welfare. This Ordinance is intended to be used in conjunction with other regulations adopted by the city of Worcester designed to encourage appropriate land use and reasonable safeguards to govern the time, place and manner of Marijuana Establishment operations.</w:t>
      </w:r>
    </w:p>
    <w:p>
      <w:pPr>
        <w:pStyle w:val="ListParagraph"/>
        <w:numPr>
          <w:ilvl w:val="0"/>
          <w:numId w:val="1"/>
        </w:numPr>
      </w:pPr>
      <w:r>
        <w:t xml:space="preserve">B.</w:t>
      </w:r>
      <w:r>
        <w:tab/>
      </w:r>
      <w:r>
        <w:t xml:space="preserve">Administration Special Permit Granting Authority (SPGA) shall be the Planning Board.</w:t>
      </w:r>
    </w:p>
    <w:p>
      <w:pPr>
        <w:pStyle w:val="ListParagraph"/>
        <w:numPr>
          <w:ilvl w:val="0"/>
          <w:numId w:val="1"/>
        </w:numPr>
      </w:pPr>
      <w:r>
        <w:t xml:space="preserve">C.</w:t>
      </w:r>
      <w:r>
        <w:tab/>
      </w:r>
      <w:r>
        <w:t xml:space="preserve">Applicability Nothing in this section shall be construed to supersede federal and state laws governing the sale and distribution of marijuana. This section shall not be construed to prevent the conversion of a medical marijuana treatment center licensed or registered no later than July 1, 2017 engaged in the cultivation, manufacture or sale of marijuana or marijuana products to a Marijuana Establishment, provided, however, any such medical marijuana treatment center obtains a special permit pursuant to this Section for any such conversion to an adult use Marijuana Establishment.</w:t>
      </w:r>
    </w:p>
    <w:p>
      <w:pPr>
        <w:pStyle w:val="ListParagraph"/>
        <w:numPr>
          <w:ilvl w:val="0"/>
          <w:numId w:val="1"/>
        </w:numPr>
      </w:pPr>
      <w:r>
        <w:t xml:space="preserve">D.</w:t>
      </w:r>
      <w:r>
        <w:tab/>
      </w:r>
      <w:r>
        <w:t xml:space="preserve">Definitions CRAFT MARIJUANA CULTIVATOR COOPERATIVE: a marijuana cultivator comprised of residents of the commonwealth organized as a limited liability company or limited liability partnership under the laws of the commonwealth, or an appropriate business structure as determined by the commission, and that is licensed to cultivate, obtain, manufacture, process, package and brand marijuana and marijuana products to deliver marijuana to Marijuana Establishments but not to consumers. DELIVERY AGREEMENTS: a contract between a licensed Marijuana Establishment and a Delivery License holder or Marijuana Establishment with a Delivery Endorsement to deliver Marijuana or Marijuana Products from the Marijuana Establishment directly to Consumers and as permitted, Marijuana Couriers to Patients and Caregivers, under the provisions of a Delivery License. DELIVERY ENDORSEMENT: authorization granted to Licensees in categories of Marijuana Establishments identified by the Cannabis Control Commission to perform deliveries directly from the establishment to Consumers. MARIJUANA: all parts of any plant of the genus Cannabis, not excepted below and whether growing or not; the seeds thereof; and resin extracted from any part of the plant; and every compound, manufacture, salt, derivative, mixture or preparation of the plant, its seeds or resin including tetrahydrocannabinol as defined in section 1 of chapter 94C; provided, however, that “marijuana” shall not include: (i) the mature stalks of the plant, fiber produced from the stalks, oil, or cake made from the seeds of the plant, any other compound, manufacture, salt, derivative, mixture or preparation of the mature stalks, fiber, oil or cake made from the seeds of the plant or the sterilized seed of the plant that is incapable of germination; (ii) hemp; or (iii) the weight of any other ingredient combined with marijuana to prepare topical or oral administrations, food, drink or other products. MARIJUANA CULTIVATOR: an entity licensed to cultivate, process and package marijuana, to deliver marijuana to Marijuana Establishments and to transfer marijuana to other Marijuana Establishments, but not to consumers, including a Craft Marijuana Cultivator Cooperative. MARIJUANA COURIER: an entity licensed to deliver Finished Marijuana Products, Marijuana Accessories and Branded Goods directly to consumers from a Marijuana Retailer, or directly to Registered Qualifying Patients or Caregivers from a Marijuana Treatment Center, but is not authorized to sell Marijuana or Marijuana Products directly to Consumers, Registered Qualifying Patients or Caregivers. Marijuana Couriers are not authorized to Wholesale, Warehouse, Process, Repackage, or White Label Marijuana. MARIJUANA DELIVERY OPERATOR: an entity licensed to purchase at Wholesale and Warehouse Finished Marijuana Products acquired from a Marijuana Cultivator, Marijuana Product Manufacturer, Microbusiness or Craft Marijuana Cooperative, and White Label, sell and deliver Finished Marijuana Products, Marijuana Accessories and Marijuana Branded Goods directly to Consumers, but is not authorized to Repackage Marijuana or Marijuana Products or operate a storefront under this license. MARIJUANA ESTABLISHMENT: a marijuana cultivator, independent testing laboratory, marijuana testing facility, marijuana product manufacturer, marijuana retailer, club, lodge, other private grounds (non-profit and private) allowing on-site consumption of marijuana or marijuana products, or any other type of licensed marijuana-related business. MARIJUANA INDEPENDENT TESTING LABORATORY: a laboratory that is licensed by the Cannabis Control Commission and is: (i) accredited to the most current International Organization for Standardization 17025 by a third-party accrediting body that is a signatory to the International Laboratory Accreditation Accrediting Cooperation mutual recognition arrangement or that is otherwise approved by the Cannabis Control Commission; (ii) independent financially from any medical marijuana treatment center or any licensee or marijuana establishment for which it conducts a test: and (iii) qualified to test marijuana in compliance with 935 CMR 500.160 and M.G.L. c. 94C, § 34. MARIJUANA PRODUCT MANUFACTURER: an entity licensed to obtain, manufacture, process and package marijuana and marijuana products, to deliver marijuana and marijuana products to Marijuana Establishments and to transfer marijuana and marijuana products to other Marijuana Establishments, but not to consumers. Such uses shall be limited to 5,000 square feet or less in Business zoning districts. MARIJUANA PRODUCTS: products that have been manufactured and contain marijuana or an extract from marijuana, including concentrated forms of marijuana and products composed of marijuana and other ingredients that are intended for use or consumption, including edible products, beverages, topical products, ointments, oils and tinctures. MARIJUANA RESEARCH FACILITY: an entity licensed to engage in research projects by the Cannabis Control Commission. MARIJUANA SOCIAL CONSUMPTION OPERATOR: a marijuana retailer licensed to purchase marijuana and marijuana products from marijuana establishment and to sell marijuana and marijuana products on its premises only to consumers or allow consumers to consume marijuana and marijuana products on its premises only. MARIJUANA STOREFRONT RETAILER: a marijuana retailer that provides a retail location accessible to consumers 21 years of age or older or in possession of a registration card demonstrating that the individual is a registered qualifying patient with the Medical Use of Marijuana Program, if the retail store is co-located with a medical marijuana treatment center. MARIJUANA TRANSPORTER: an entity, not otherwise licensed by the Cannabis Control Commission, that is licensed to purchase, obtain, and possess marijuana and marijuana products solely for the purpose of transporting, temporary storage, sale and distribution to marijuana establishments, not for sale to consumers. MICRO-BUSINESS: a marijuana establishment that is licensed to act as a: licensed marijuana cultivator in an area less than 5,000 square feet; licensed marijuana product manufacturer, and licensed marijuana delivery service in compliance with the operating procedures for each such license. Such uses shall be limited to 5,000 square feet or less in total in Business zoning districts.</w:t>
      </w:r>
    </w:p>
    <w:p>
      <w:pPr>
        <w:pStyle w:val="ListParagraph"/>
        <w:numPr>
          <w:ilvl w:val="1"/>
          <w:numId w:val="1"/>
        </w:numPr>
      </w:pPr>
      <w:r>
        <w:t xml:space="preserve">1.</w:t>
      </w:r>
      <w:r>
        <w:tab/>
      </w:r>
      <w:r>
        <w:t xml:space="preserve">E. Use Regulations</w:t>
      </w:r>
    </w:p>
    <w:p>
      <w:pPr>
        <w:pStyle w:val="ListParagraph"/>
        <w:numPr>
          <w:ilvl w:val="1"/>
          <w:numId w:val="1"/>
        </w:numPr>
      </w:pPr>
      <w:r>
        <w:t xml:space="preserve">1.</w:t>
      </w:r>
      <w:r>
        <w:tab/>
      </w:r>
      <w:r>
        <w:t xml:space="preserve">A Marijuana Establishment shall be permitted in the zoning districts determined by Table 4.1 and only then upon the issuance of a special permit by the Planning Board acting solely in accordance with the standards and procedures set forth in this section fifteen.</w:t>
      </w:r>
    </w:p>
    <w:p>
      <w:pPr>
        <w:pStyle w:val="ListParagraph"/>
        <w:numPr>
          <w:ilvl w:val="1"/>
          <w:numId w:val="1"/>
        </w:numPr>
      </w:pPr>
      <w:r>
        <w:t xml:space="preserve">2.</w:t>
      </w:r>
      <w:r>
        <w:tab/>
      </w:r>
      <w:r>
        <w:t xml:space="preserve">The number of Marijuana Retailers that shall be permitted is limited to 20% of the number of licenses issued within the city of Worcester for the retail sale of alcoholic beverages not be drunk on the premises where sold under section 15 of chapter138.</w:t>
      </w:r>
    </w:p>
    <w:p>
      <w:pPr>
        <w:pStyle w:val="ListParagraph"/>
        <w:numPr>
          <w:ilvl w:val="1"/>
          <w:numId w:val="1"/>
        </w:numPr>
      </w:pPr>
      <w:r>
        <w:t xml:space="preserve">3.</w:t>
      </w:r>
      <w:r>
        <w:tab/>
      </w:r>
      <w:r>
        <w:t xml:space="preserve">A special permit for a Marijuana Establishment shall be limited to one or more of the following uses that shall be prescribed by the SPGA:</w:t>
      </w:r>
    </w:p>
    <w:p>
      <w:pPr>
        <w:pStyle w:val="ListParagraph"/>
        <w:numPr>
          <w:ilvl w:val="2"/>
          <w:numId w:val="1"/>
        </w:numPr>
      </w:pPr>
      <w:r>
        <w:t xml:space="preserve">a)</w:t>
      </w:r>
      <w:r>
        <w:tab/>
      </w:r>
      <w:r>
        <w:t xml:space="preserve">Club, lodge, other private grounds (non-profit and private) allowing on-site consumption of marijuana or marijuana products, but not operating as a licensed marijuana social consumption operator.</w:t>
      </w:r>
    </w:p>
    <w:p>
      <w:pPr>
        <w:pStyle w:val="ListParagraph"/>
        <w:numPr>
          <w:ilvl w:val="2"/>
          <w:numId w:val="1"/>
        </w:numPr>
      </w:pPr>
      <w:r>
        <w:t xml:space="preserve">b)</w:t>
      </w:r>
      <w:r>
        <w:tab/>
      </w:r>
      <w:r>
        <w:t xml:space="preserve">Marijuana Cultivator</w:t>
      </w:r>
    </w:p>
    <w:p>
      <w:pPr>
        <w:pStyle w:val="ListParagraph"/>
        <w:numPr>
          <w:ilvl w:val="2"/>
          <w:numId w:val="1"/>
        </w:numPr>
      </w:pPr>
      <w:r>
        <w:t xml:space="preserve">c)</w:t>
      </w:r>
      <w:r>
        <w:tab/>
      </w:r>
      <w:r>
        <w:t xml:space="preserve">Marijuana Delivery-Only-Retailer</w:t>
      </w:r>
    </w:p>
    <w:p>
      <w:pPr>
        <w:pStyle w:val="ListParagraph"/>
        <w:numPr>
          <w:ilvl w:val="2"/>
          <w:numId w:val="1"/>
        </w:numPr>
      </w:pPr>
      <w:r>
        <w:t xml:space="preserve">d)</w:t>
      </w:r>
      <w:r>
        <w:tab/>
      </w:r>
      <w:r>
        <w:t xml:space="preserve">Marijuana Independent Testing Laboratory</w:t>
      </w:r>
    </w:p>
    <w:p>
      <w:pPr>
        <w:pStyle w:val="ListParagraph"/>
        <w:numPr>
          <w:ilvl w:val="2"/>
          <w:numId w:val="1"/>
        </w:numPr>
      </w:pPr>
      <w:r>
        <w:t xml:space="preserve">e)</w:t>
      </w:r>
      <w:r>
        <w:tab/>
      </w:r>
      <w:r>
        <w:t xml:space="preserve">Marijuana Product Manufacturer</w:t>
      </w:r>
    </w:p>
    <w:p>
      <w:pPr>
        <w:pStyle w:val="ListParagraph"/>
        <w:numPr>
          <w:ilvl w:val="2"/>
          <w:numId w:val="1"/>
        </w:numPr>
      </w:pPr>
      <w:r>
        <w:t xml:space="preserve">f)</w:t>
      </w:r>
      <w:r>
        <w:tab/>
      </w:r>
      <w:r>
        <w:t xml:space="preserve">Marijuana Research Facility</w:t>
      </w:r>
    </w:p>
    <w:p>
      <w:pPr>
        <w:pStyle w:val="ListParagraph"/>
        <w:numPr>
          <w:ilvl w:val="2"/>
          <w:numId w:val="1"/>
        </w:numPr>
      </w:pPr>
      <w:r>
        <w:t xml:space="preserve">g)</w:t>
      </w:r>
      <w:r>
        <w:tab/>
      </w:r>
      <w:r>
        <w:t xml:space="preserve">Marijuana Storefront Retailer</w:t>
      </w:r>
    </w:p>
    <w:p>
      <w:pPr>
        <w:pStyle w:val="ListParagraph"/>
        <w:numPr>
          <w:ilvl w:val="2"/>
          <w:numId w:val="1"/>
        </w:numPr>
      </w:pPr>
      <w:r>
        <w:t xml:space="preserve">h)</w:t>
      </w:r>
      <w:r>
        <w:tab/>
      </w:r>
      <w:r>
        <w:t xml:space="preserve">Marijuana Transporter</w:t>
      </w:r>
    </w:p>
    <w:p>
      <w:pPr>
        <w:pStyle w:val="ListParagraph"/>
        <w:numPr>
          <w:ilvl w:val="2"/>
          <w:numId w:val="1"/>
        </w:numPr>
      </w:pPr>
      <w:r>
        <w:t xml:space="preserve">i)</w:t>
      </w:r>
      <w:r>
        <w:tab/>
      </w:r>
      <w:r>
        <w:t xml:space="preserve">Micro-Business</w:t>
      </w:r>
    </w:p>
    <w:p>
      <w:pPr>
        <w:pStyle w:val="ListParagraph"/>
        <w:numPr>
          <w:ilvl w:val="1"/>
          <w:numId w:val="1"/>
        </w:numPr>
      </w:pPr>
      <w:r>
        <w:t xml:space="preserve">4.</w:t>
      </w:r>
      <w:r>
        <w:tab/>
      </w:r>
      <w:r>
        <w:t xml:space="preserve">Except for the conversion of a licensed Registered Marijuana Dispensary to an Adult Use Marijuana Establishment, no special permit shall be granted for any Marijuana Establishment sited within a radius of five hundred feet of a public or private, primary or secondary school, licensed daycare center, public library, public park or playground, nor for any Marijuana Storefront Retailer sited within a radius of five hundred feet of another Marijuana Storefront Retailer. The 500 foot distance under this section shall be measured in a straight line from the nearest point of the facility in question to the nearest point of the proposed Marijuana Establishment. Each applicant for a special permit under this section shall submit a plan signed by a licensed surveyor, depicting compliance with the linear distance requirements set forth herein.</w:t>
      </w:r>
    </w:p>
    <w:p>
      <w:pPr>
        <w:pStyle w:val="ListParagraph"/>
        <w:numPr>
          <w:ilvl w:val="1"/>
          <w:numId w:val="1"/>
        </w:numPr>
      </w:pPr>
      <w:r>
        <w:t xml:space="preserve">5.</w:t>
      </w:r>
      <w:r>
        <w:tab/>
      </w:r>
      <w:r>
        <w:t xml:space="preserve">All aspects of a Marijuana Establishment relative to the cultivation, possession, processing, sales, distribution, dispensing or administration of marijuana, marijuana products, or related supplies must take place at a fixed location within a fully enclosed building and shall not be visible from the exterior of the building. A Marijuana Establishment shall not be located in a trailer, storage freight container, motor vehicle or other similar movable enclosure.</w:t>
      </w:r>
    </w:p>
    <w:p>
      <w:pPr>
        <w:pStyle w:val="ListParagraph"/>
        <w:numPr>
          <w:ilvl w:val="1"/>
          <w:numId w:val="1"/>
        </w:numPr>
      </w:pPr>
      <w:r>
        <w:t xml:space="preserve">6.</w:t>
      </w:r>
      <w:r>
        <w:tab/>
      </w:r>
      <w:r>
        <w:t xml:space="preserve">No outside storage of marijuana, marijuana products, or related supplies is permitted.</w:t>
      </w:r>
    </w:p>
    <w:p>
      <w:pPr>
        <w:pStyle w:val="ListParagraph"/>
        <w:numPr>
          <w:ilvl w:val="1"/>
          <w:numId w:val="1"/>
        </w:numPr>
      </w:pPr>
      <w:r>
        <w:t xml:space="preserve">7.</w:t>
      </w:r>
      <w:r>
        <w:tab/>
      </w:r>
      <w:r>
        <w:t xml:space="preserve">The hours of operation of a Marijuana Establishment shall be set by the SPGA, but in no event shall a Marijuana Establishment be open to the public, nor shall any sale or other distribution of marijuana occur upon the premises or via delivery from the premises between the hours of 11p.m. and 8 a.m. Monday through Saturday and before 10 a.m. on Sundays.</w:t>
      </w:r>
    </w:p>
    <w:p>
      <w:pPr>
        <w:pStyle w:val="ListParagraph"/>
        <w:numPr>
          <w:ilvl w:val="1"/>
          <w:numId w:val="1"/>
        </w:numPr>
      </w:pPr>
      <w:r>
        <w:t xml:space="preserve">8.</w:t>
      </w:r>
      <w:r>
        <w:tab/>
      </w:r>
      <w:r>
        <w:t xml:space="preserve">The Marijuana Establishment shall provide an odor control plan that provides for proper and adequate ventilation at such facilities in such a manner so as to prevent pesticides, insecticides or other chemicals used in the cultivation or processing of marijuana or marijuana related products from being dispersed or released outside the facilities. All resulting odors, smoke, vapor, fumes, gases and particulate matter from marijuana or its processing or cultivation shall be effectively confined to the premises or so disposed of so as to avoid any air pollution.</w:t>
      </w:r>
    </w:p>
    <w:p>
      <w:pPr>
        <w:pStyle w:val="ListParagraph"/>
        <w:numPr>
          <w:ilvl w:val="1"/>
          <w:numId w:val="1"/>
        </w:numPr>
      </w:pPr>
      <w:r>
        <w:t xml:space="preserve">9.</w:t>
      </w:r>
      <w:r>
        <w:tab/>
      </w:r>
      <w:r>
        <w:t xml:space="preserve">The Marijuana Establishment shall provide for adequate and proper security at the premises so as to avoid, deter and prevent illegal activities from taking place upon or about the applicant’s premises.</w:t>
      </w:r>
    </w:p>
    <w:p>
      <w:pPr>
        <w:pStyle w:val="ListParagraph"/>
        <w:numPr>
          <w:ilvl w:val="1"/>
          <w:numId w:val="1"/>
        </w:numPr>
      </w:pPr>
      <w:r>
        <w:t xml:space="preserve">10.</w:t>
      </w:r>
      <w:r>
        <w:tab/>
      </w:r>
      <w:r>
        <w:t xml:space="preserve">No marijuana or marijuana product shall be smoked, eaten or otherwise consumed or ingested on the premises where sold. All Marijuana Establishments permitted under this section shall comply with all state and local laws, rules and regulations governing the smoking of tobacco.</w:t>
      </w:r>
    </w:p>
    <w:p>
      <w:pPr>
        <w:pStyle w:val="ListParagraph"/>
        <w:numPr>
          <w:ilvl w:val="1"/>
          <w:numId w:val="1"/>
        </w:numPr>
      </w:pPr>
      <w:r>
        <w:t xml:space="preserve">11.</w:t>
      </w:r>
      <w:r>
        <w:tab/>
      </w:r>
      <w:r>
        <w:t xml:space="preserve">No drive-through service shall be permitted at a Marijuana Establishment.</w:t>
      </w:r>
    </w:p>
    <w:p>
      <w:pPr>
        <w:pStyle w:val="ListParagraph"/>
        <w:numPr>
          <w:ilvl w:val="0"/>
          <w:numId w:val="1"/>
        </w:numPr>
      </w:pPr>
      <w:r>
        <w:t xml:space="preserve">F.</w:t>
      </w:r>
      <w:r>
        <w:tab/>
      </w:r>
      <w:r>
        <w:t xml:space="preserve">Dimensional Requirements</w:t>
      </w:r>
    </w:p>
    <w:p>
      <w:pPr>
        <w:pStyle w:val="ListParagraph"/>
        <w:numPr>
          <w:ilvl w:val="1"/>
          <w:numId w:val="1"/>
        </w:numPr>
      </w:pPr>
      <w:r>
        <w:t xml:space="preserve">1.</w:t>
      </w:r>
      <w:r>
        <w:tab/>
      </w:r>
      <w:r>
        <w:t xml:space="preserve">A Marijuana Establishment shall comply with the dimensional controls set forth in Table 4.2.</w:t>
      </w:r>
    </w:p>
    <w:p>
      <w:pPr>
        <w:pStyle w:val="ListParagraph"/>
        <w:numPr>
          <w:ilvl w:val="0"/>
          <w:numId w:val="1"/>
        </w:numPr>
      </w:pPr>
      <w:r>
        <w:t xml:space="preserve">G.</w:t>
      </w:r>
      <w:r>
        <w:tab/>
      </w:r>
      <w:r>
        <w:t xml:space="preserve">Abandonment or Discontinuance of Use</w:t>
      </w:r>
    </w:p>
    <w:p>
      <w:pPr>
        <w:pStyle w:val="ListParagraph"/>
        <w:numPr>
          <w:ilvl w:val="1"/>
          <w:numId w:val="1"/>
        </w:numPr>
      </w:pPr>
      <w:r>
        <w:t xml:space="preserve">1.</w:t>
      </w:r>
      <w:r>
        <w:tab/>
      </w:r>
      <w:r>
        <w:t xml:space="preserve">A special permit grant under this section shall lapse if not exercised within one year of issuance.</w:t>
      </w:r>
    </w:p>
    <w:p>
      <w:pPr>
        <w:pStyle w:val="ListParagraph"/>
        <w:numPr>
          <w:ilvl w:val="1"/>
          <w:numId w:val="1"/>
        </w:numPr>
      </w:pPr>
      <w:r>
        <w:t xml:space="preserve">2.</w:t>
      </w:r>
      <w:r>
        <w:tab/>
      </w:r>
      <w:r>
        <w:t xml:space="preserve">A Marijuana Establishment shall be required to remove all materials, plants, equipment and other paraphernalia within ninety days of ceasing operations or immediately following revocation of its license issued by the Cannabis Control Commission.</w:t>
      </w:r>
    </w:p>
    <w:p>
      <w:pPr>
        <w:pStyle w:val="ListParagraph"/>
        <w:numPr>
          <w:ilvl w:val="1"/>
          <w:numId w:val="1"/>
        </w:numPr>
      </w:pPr>
      <w:r>
        <w:t xml:space="preserve">3.</w:t>
      </w:r>
      <w:r>
        <w:tab/>
      </w:r>
      <w:r>
        <w:t xml:space="preserve">The SPGA may require the Marijuana Establishment to post a bond or other resources held in an escrow account in an amount sufficient to adequately support the dismantling and winding down of the Marijuana Establishment.</w:t>
      </w:r>
    </w:p>
    <w:p>
      <w:pPr>
        <w:pStyle w:val="ListParagraph"/>
        <w:numPr>
          <w:ilvl w:val="0"/>
          <w:numId w:val="1"/>
        </w:numPr>
      </w:pPr>
      <w:r>
        <w:t xml:space="preserve">H.</w:t>
      </w:r>
      <w:r>
        <w:tab/>
      </w:r>
      <w:r>
        <w:t xml:space="preserve">Special Permit Approval Criteria</w:t>
      </w:r>
    </w:p>
    <w:p>
      <w:pPr>
        <w:pStyle w:val="ListParagraph"/>
        <w:numPr>
          <w:ilvl w:val="1"/>
          <w:numId w:val="1"/>
        </w:numPr>
      </w:pPr>
      <w:r>
        <w:t xml:space="preserve">1.</w:t>
      </w:r>
      <w:r>
        <w:tab/>
      </w:r>
      <w:r>
        <w:t xml:space="preserve">After notice and public hearing, and after due consideration of the evidence submitted, including the reports and recommendations of city departments, the SPGA, in addition to the special permit criteria under Article II, may grant such a special permit provided that it finds that:</w:t>
      </w:r>
    </w:p>
    <w:p>
      <w:pPr>
        <w:pStyle w:val="ListParagraph"/>
        <w:numPr>
          <w:ilvl w:val="2"/>
          <w:numId w:val="1"/>
        </w:numPr>
      </w:pPr>
      <w:r>
        <w:t xml:space="preserve">a)</w:t>
      </w:r>
      <w:r>
        <w:tab/>
      </w:r>
      <w:r>
        <w:t xml:space="preserve">The Marijuana Establishment does not derogate from the purposes and intent of this Section and the Zoning Ordinance.</w:t>
      </w:r>
    </w:p>
    <w:p>
      <w:pPr>
        <w:pStyle w:val="ListParagraph"/>
        <w:numPr>
          <w:ilvl w:val="2"/>
          <w:numId w:val="1"/>
        </w:numPr>
      </w:pPr>
      <w:r>
        <w:t xml:space="preserve">b)</w:t>
      </w:r>
      <w:r>
        <w:tab/>
      </w:r>
      <w:r>
        <w:t xml:space="preserve">The application information submitted is adequate for the SPGA to consider approving the special permit request.</w:t>
      </w:r>
    </w:p>
    <w:p>
      <w:pPr>
        <w:pStyle w:val="ListParagraph"/>
        <w:numPr>
          <w:ilvl w:val="2"/>
          <w:numId w:val="1"/>
        </w:numPr>
      </w:pPr>
      <w:r>
        <w:t xml:space="preserve">c)</w:t>
      </w:r>
      <w:r>
        <w:tab/>
      </w:r>
      <w:r>
        <w:t xml:space="preserve">The proposed establishment is designed to minimize any adverse impacts on abutting properties.</w:t>
      </w:r>
    </w:p>
    <w:p>
      <w:pPr>
        <w:pStyle w:val="ListParagraph"/>
        <w:numPr>
          <w:ilvl w:val="2"/>
          <w:numId w:val="1"/>
        </w:numPr>
      </w:pPr>
      <w:r>
        <w:t xml:space="preserve">d)</w:t>
      </w:r>
      <w:r>
        <w:tab/>
      </w:r>
      <w:r>
        <w:t xml:space="preserve">The security plan provides sufficient assurance that adequate security controls have been implemented to ensure the protection of the public health and safety during hours of operation and that any marijuana or marijuana related products are adequately secured on-site or via delivery.</w:t>
      </w:r>
    </w:p>
    <w:p>
      <w:pPr>
        <w:pStyle w:val="ListParagraph"/>
        <w:numPr>
          <w:ilvl w:val="2"/>
          <w:numId w:val="1"/>
        </w:numPr>
      </w:pPr>
      <w:r>
        <w:t xml:space="preserve">e)</w:t>
      </w:r>
      <w:r>
        <w:tab/>
      </w:r>
      <w:r>
        <w:t xml:space="preserve">The odor control plan proposed adequately provides for the ongoing safe operation of the establishment and minimizes any adverse impacts to abutting properties from odor-emitting activities to be conducted on-site.</w:t>
      </w:r>
    </w:p>
    <w:p>
      <w:pPr>
        <w:pStyle w:val="ListParagraph"/>
        <w:numPr>
          <w:ilvl w:val="2"/>
          <w:numId w:val="1"/>
        </w:numPr>
      </w:pPr>
      <w:r>
        <w:t xml:space="preserve">f)</w:t>
      </w:r>
      <w:r>
        <w:tab/>
      </w:r>
      <w:r>
        <w:t xml:space="preserve">The proposed design and operation of the Marijuana Establishment will meet the requirements of this Section.</w:t>
      </w:r>
    </w:p>
    <w:p>
      <w:pPr>
        <w:pStyle w:val="ListParagraph"/>
        <w:numPr>
          <w:ilvl w:val="3"/>
          <w:numId w:val="1"/>
        </w:numPr>
      </w:pPr>
      <w:r>
        <w:t xml:space="preserve">I.</w:t>
      </w:r>
      <w:r>
        <w:tab/>
      </w:r>
      <w:r>
        <w:t xml:space="preserve">Application Requirements</w:t>
      </w:r>
    </w:p>
    <w:p>
      <w:pPr>
        <w:pStyle w:val="ListParagraph"/>
        <w:numPr>
          <w:ilvl w:val="1"/>
          <w:numId w:val="1"/>
        </w:numPr>
      </w:pPr>
      <w:r>
        <w:t xml:space="preserve">1.</w:t>
      </w:r>
      <w:r>
        <w:tab/>
      </w:r>
      <w:r>
        <w:t xml:space="preserve">All applicants are encouraged to contact the SPGA staff to schedule a pre- application meeting.</w:t>
      </w:r>
    </w:p>
    <w:p>
      <w:pPr>
        <w:pStyle w:val="ListParagraph"/>
        <w:numPr>
          <w:ilvl w:val="1"/>
          <w:numId w:val="1"/>
        </w:numPr>
      </w:pPr>
      <w:r>
        <w:t xml:space="preserve">2.</w:t>
      </w:r>
      <w:r>
        <w:tab/>
      </w:r>
      <w:r>
        <w:t xml:space="preserve">In addition to all the application requirements related to special permits under Article II, the applicant shall include the following at the time of application:</w:t>
      </w:r>
    </w:p>
    <w:p>
      <w:pPr>
        <w:pStyle w:val="ListParagraph"/>
        <w:numPr>
          <w:ilvl w:val="2"/>
          <w:numId w:val="1"/>
        </w:numPr>
      </w:pPr>
      <w:r>
        <w:t xml:space="preserve">(a)</w:t>
      </w:r>
      <w:r>
        <w:tab/>
      </w:r>
      <w:r>
        <w:t xml:space="preserve">Copies of all licenses, permits and documentation demonstrating application status, registration or licensure by the Commonwealth of Massachusetts Cannabis Control Commission, including but not limited to a copy of an executed host community agreement .</w:t>
      </w:r>
    </w:p>
    <w:p>
      <w:pPr>
        <w:pStyle w:val="ListParagraph"/>
        <w:numPr>
          <w:ilvl w:val="2"/>
          <w:numId w:val="1"/>
        </w:numPr>
      </w:pPr>
      <w:r>
        <w:t xml:space="preserve">(b)</w:t>
      </w:r>
      <w:r>
        <w:tab/>
      </w:r>
      <w:r>
        <w:t xml:space="preserve">A security plan showing the arrangement of pedestrian circulation and access to the public points of entry to the premises from the nearest public or private street or off-street parking area. The security plan shall detail how the property will be monitored so as to avoid, deter and prevent illegal activities from taking place upon or about the applicant’s premises and shall show the location of any walkway structures, lighting, gates, fencing and landscaping.</w:t>
      </w:r>
    </w:p>
    <w:p>
      <w:pPr>
        <w:pStyle w:val="ListParagraph"/>
        <w:numPr>
          <w:ilvl w:val="2"/>
          <w:numId w:val="1"/>
        </w:numPr>
      </w:pPr>
      <w:r>
        <w:t xml:space="preserve">(c)</w:t>
      </w:r>
      <w:r>
        <w:tab/>
      </w:r>
      <w:r>
        <w:t xml:space="preserve">A list of all managers, officers, directors, persons or entities having direct or indirect authority over the management, policies, security operations or cultivation operations of the Marijuana Establishment.</w:t>
      </w:r>
    </w:p>
    <w:p>
      <w:pPr>
        <w:pStyle w:val="ListParagraph"/>
        <w:numPr>
          <w:ilvl w:val="2"/>
          <w:numId w:val="1"/>
        </w:numPr>
      </w:pPr>
      <w:r>
        <w:t xml:space="preserve">(d)</w:t>
      </w:r>
      <w:r>
        <w:tab/>
      </w:r>
      <w:r>
        <w:t xml:space="preserve">A list of all persons or entities contributing 10% or more of the initial capital to operate the Marijuana Establishment, including capital in the form of land or buildings.</w:t>
      </w:r>
    </w:p>
    <w:p>
      <w:pPr>
        <w:pStyle w:val="ListParagraph"/>
        <w:numPr>
          <w:ilvl w:val="2"/>
          <w:numId w:val="1"/>
        </w:numPr>
      </w:pPr>
      <w:r>
        <w:t xml:space="preserve">(e)</w:t>
      </w:r>
      <w:r>
        <w:tab/>
      </w:r>
      <w:r>
        <w:t xml:space="preserve">Proof that the Marijuana Establishment is registered to do business in the Commonwealth of Massachusetts as a domestic business corporation or another domestic business entity in compliance with 935 CMR 500 and is in good standing with the Secretary of the Commonwealth and Department of Revenue.</w:t>
      </w:r>
    </w:p>
    <w:p>
      <w:pPr>
        <w:pStyle w:val="ListParagraph"/>
        <w:numPr>
          <w:ilvl w:val="2"/>
          <w:numId w:val="1"/>
        </w:numPr>
      </w:pPr>
      <w:r>
        <w:t xml:space="preserve">(f)</w:t>
      </w:r>
      <w:r>
        <w:tab/>
      </w:r>
      <w:r>
        <w:t xml:space="preserve">Documentation of a bond or other resources held in an escrow account in an amount sufficient to adequately support the dismantling or winding down of the Marijuana Establishment, if required.</w:t>
      </w:r>
    </w:p>
    <w:p>
      <w:pPr>
        <w:pStyle w:val="ListParagraph"/>
        <w:numPr>
          <w:ilvl w:val="2"/>
          <w:numId w:val="1"/>
        </w:numPr>
      </w:pPr>
      <w:r>
        <w:t xml:space="preserve">(g)</w:t>
      </w:r>
      <w:r>
        <w:tab/>
      </w:r>
      <w:r>
        <w:t xml:space="preserve">An odor control plan detailing the specific odor-emitting activities or processes to be conducted on-site, the source of those odors, the locations from which they are emitted from the facility, the frequency of such odor-emitting activities, the duration of such odor-emitting activities, and the administrative and engineering controls that will be implemented to control such odors, including maintenance of such controls.</w:t>
      </w:r>
    </w:p>
    <w:p>
      <w:pPr>
        <w:pStyle w:val="ListParagraph"/>
        <w:numPr>
          <w:ilvl w:val="2"/>
          <w:numId w:val="1"/>
        </w:numPr>
      </w:pPr>
      <w:r>
        <w:t xml:space="preserve">(h)</w:t>
      </w:r>
      <w:r>
        <w:tab/>
      </w:r>
      <w:r>
        <w:t xml:space="preserve">An applicant who is not the property owner shall submit evidence in the form of a deed, an executed lease or valid purchase and sale agreement documenting the applicant’s contingent property interest and legal right to operate a Marijuana Establishment at the property.</w:t>
      </w:r>
    </w:p>
    <w:p>
      <w:pPr>
        <w:pStyle w:val="Heading3"/>
      </w:pPr>
      <w:r>
        <w:t xml:space="preserve">§ 16. Urban Agriculture</w:t>
      </w:r>
    </w:p>
    <w:p>
      <w:pPr>
        <w:pStyle w:val="ListParagraph"/>
        <w:numPr>
          <w:ilvl w:val="0"/>
          <w:numId w:val="1"/>
        </w:numPr>
      </w:pPr>
      <w:r>
        <w:t xml:space="preserve">A.</w:t>
      </w:r>
      <w:r>
        <w:tab/>
      </w:r>
      <w:r>
        <w:t xml:space="preserve">Purpose and Intent The purpose of this Section is to provide for urban-scale farming and agriculture uses in the city of Worcester, and to allow residents to have increased access to fresh, locally grown produce. This Section establishes standards for the siting, design and operation of agriculture activities within the city so as to minimize impacts on surrounding properties and to protect the public welfare and safety.</w:t>
      </w:r>
    </w:p>
    <w:p>
      <w:pPr>
        <w:pStyle w:val="ListParagraph"/>
        <w:numPr>
          <w:ilvl w:val="0"/>
          <w:numId w:val="1"/>
        </w:numPr>
      </w:pPr>
      <w:r>
        <w:t xml:space="preserve">B.</w:t>
      </w:r>
      <w:r>
        <w:tab/>
      </w:r>
      <w:r>
        <w:t xml:space="preserve">Definitions AGRICULTURE: the growing and harvesting of food crops, flowers or other plants, but excluding the raising of animals and livestock. COMMUNITY GARDEN: a lot or any portion thereof, not exceeding 5,000 square feet in size, that is used by a group of individuals for growing and harvesting of food crops, flowers or ornamental plants primarily for personal consumption or use, not for sale. Community gardens may be divided into separate plots for cultivation by one or more individuals or may be cultivated collectively by members of a group. COMPOSTING: a process of accelerated biodegradation of organic material under controlled conditions to produce compost, an organic soil amending product. FARM STAND: the on-site retail sale of goods, typically from a table, stall or tent, limited to produce and crops grown on-site. FARM STRUCTURE: structures and assemblies that are used in agriculture, including sheds, compost bins, vertical supports for growing crops, greenhouses, hoophouses, coldframes, and similar structures. FARMERS’ MARKET: a temporary market where multiple producers of food, plants, flowers or other agricultural products sell their products directly to consumers on an occasional or recurring basis. FREIGHT CONTAINER: a vessel designed for conveyance of freight or goods by truck or train that has been repurposed for another use, such as agriculture. URBAN FARM: a lot or portion thereof that is used for agriculture, but not including a yard garden or a community garden. YARD GARDEN: agriculture involving less than 2,500 square feet of area conducted accessory to a residential use by the person who resides there, primarily for personal consumption or use, except for accessory farm stand sales.</w:t>
      </w:r>
    </w:p>
    <w:p>
      <w:pPr>
        <w:pStyle w:val="ListParagraph"/>
        <w:numPr>
          <w:ilvl w:val="0"/>
          <w:numId w:val="1"/>
        </w:numPr>
      </w:pPr>
      <w:r>
        <w:t xml:space="preserve">C.</w:t>
      </w:r>
      <w:r>
        <w:tab/>
      </w:r>
      <w:r>
        <w:t xml:space="preserve">Urban Farm</w:t>
      </w:r>
    </w:p>
    <w:p>
      <w:pPr>
        <w:pStyle w:val="ListParagraph"/>
        <w:numPr>
          <w:ilvl w:val="1"/>
          <w:numId w:val="1"/>
        </w:numPr>
      </w:pPr>
      <w:r>
        <w:t xml:space="preserve">1.</w:t>
      </w:r>
      <w:r>
        <w:tab/>
      </w:r>
      <w:r>
        <w:t xml:space="preserve">An urban farm shall be permitted in the zoning districts determined by Table 4.1.</w:t>
      </w:r>
    </w:p>
    <w:p>
      <w:pPr>
        <w:pStyle w:val="ListParagraph"/>
        <w:numPr>
          <w:ilvl w:val="1"/>
          <w:numId w:val="1"/>
        </w:numPr>
      </w:pPr>
      <w:r>
        <w:t xml:space="preserve">2.</w:t>
      </w:r>
      <w:r>
        <w:tab/>
      </w:r>
      <w:r>
        <w:t xml:space="preserve">No urban farm shall be operated in a residential district without first obtaining a special permit from the Planning Board pursuant to the criteria set forth in Article II, Section 6(A)(2) and subsection C(3) herein. A special permit shall be issued only to the owner or lessee of the property and shall not be transferrable. Any change in owner or lessee shall require a new special permit.</w:t>
      </w:r>
    </w:p>
    <w:p>
      <w:pPr>
        <w:pStyle w:val="ListParagraph"/>
        <w:numPr>
          <w:ilvl w:val="1"/>
          <w:numId w:val="1"/>
        </w:numPr>
      </w:pPr>
      <w:r>
        <w:t xml:space="preserve">3.</w:t>
      </w:r>
      <w:r>
        <w:tab/>
      </w:r>
      <w:r>
        <w:t xml:space="preserve">In addition to the special permit criteria pursuant to Article II, the Planning Board shall also consider the urban farm’s conformance with the following planning and design objectives:</w:t>
      </w:r>
    </w:p>
    <w:p>
      <w:pPr>
        <w:pStyle w:val="ListParagraph"/>
        <w:numPr>
          <w:ilvl w:val="2"/>
          <w:numId w:val="1"/>
        </w:numPr>
      </w:pPr>
      <w:r>
        <w:t xml:space="preserve">i)</w:t>
      </w:r>
      <w:r>
        <w:tab/>
      </w:r>
      <w:r>
        <w:t xml:space="preserve">Whether the proposed site layout, farm structures, equipment and material storage, lighting, irrigation, drainage, grading, composting, access, parking, and operations are compatible with and designed to minimize the impact to the surrounding neighborhood.</w:t>
      </w:r>
    </w:p>
    <w:p>
      <w:pPr>
        <w:pStyle w:val="ListParagraph"/>
        <w:numPr>
          <w:ilvl w:val="1"/>
          <w:numId w:val="1"/>
        </w:numPr>
      </w:pPr>
      <w:r>
        <w:t xml:space="preserve">4.</w:t>
      </w:r>
      <w:r>
        <w:tab/>
      </w:r>
      <w:r>
        <w:t xml:space="preserve">In lieu of plan of land requirements established by the special permit granting authority, each application for a special permit shall be accompanied by a sketch plan drawn to approximate scale, including the following information:</w:t>
      </w:r>
    </w:p>
    <w:p>
      <w:pPr>
        <w:pStyle w:val="ListParagraph"/>
        <w:numPr>
          <w:ilvl w:val="2"/>
          <w:numId w:val="1"/>
        </w:numPr>
      </w:pPr>
      <w:r>
        <w:t xml:space="preserve">i)</w:t>
      </w:r>
      <w:r>
        <w:tab/>
      </w:r>
      <w:r>
        <w:t xml:space="preserve">Location of planted areas, footprints for all farm structures, driveways, composting, parking areas and landscape buffers;</w:t>
      </w:r>
    </w:p>
    <w:p>
      <w:pPr>
        <w:pStyle w:val="ListParagraph"/>
        <w:numPr>
          <w:ilvl w:val="3"/>
          <w:numId w:val="1"/>
        </w:numPr>
      </w:pPr>
      <w:r>
        <w:t xml:space="preserve">ii)</w:t>
      </w:r>
      <w:r>
        <w:tab/>
      </w:r>
      <w:r>
        <w:t xml:space="preserve">Location of abutting properties, streets and easements;</w:t>
      </w:r>
    </w:p>
    <w:p>
      <w:pPr>
        <w:pStyle w:val="ListParagraph"/>
        <w:numPr>
          <w:ilvl w:val="3"/>
          <w:numId w:val="1"/>
        </w:numPr>
      </w:pPr>
      <w:r>
        <w:t xml:space="preserve">iii)</w:t>
      </w:r>
      <w:r>
        <w:tab/>
      </w:r>
      <w:r>
        <w:t xml:space="preserve">Plans for irrigation, drainage and controls for storm water runoff;</w:t>
      </w:r>
    </w:p>
    <w:p>
      <w:pPr>
        <w:pStyle w:val="ListParagraph"/>
        <w:numPr>
          <w:ilvl w:val="3"/>
          <w:numId w:val="1"/>
        </w:numPr>
      </w:pPr>
      <w:r>
        <w:t xml:space="preserve">iv)</w:t>
      </w:r>
      <w:r>
        <w:tab/>
      </w:r>
      <w:r>
        <w:t xml:space="preserve">Location and positioning of proposed signage and lighting;</w:t>
      </w:r>
    </w:p>
    <w:p>
      <w:pPr>
        <w:pStyle w:val="ListParagraph"/>
        <w:numPr>
          <w:ilvl w:val="2"/>
          <w:numId w:val="1"/>
        </w:numPr>
      </w:pPr>
      <w:r>
        <w:t xml:space="preserve">v)</w:t>
      </w:r>
      <w:r>
        <w:tab/>
      </w:r>
      <w:r>
        <w:t xml:space="preserve">Illustration of the dimensions, location and appearance of all proposed agriculture or farming activities, including fencing, screening and landscaping; and</w:t>
      </w:r>
    </w:p>
    <w:p>
      <w:pPr>
        <w:pStyle w:val="ListParagraph"/>
        <w:numPr>
          <w:ilvl w:val="3"/>
          <w:numId w:val="1"/>
        </w:numPr>
      </w:pPr>
      <w:r>
        <w:t xml:space="preserve">vi)</w:t>
      </w:r>
      <w:r>
        <w:tab/>
      </w:r>
      <w:r>
        <w:t xml:space="preserve">If applicable, the location of any existing buildings or structures remaining along with the proposed urban farm use.</w:t>
      </w:r>
    </w:p>
    <w:p>
      <w:pPr>
        <w:pStyle w:val="ListParagraph"/>
        <w:numPr>
          <w:ilvl w:val="1"/>
          <w:numId w:val="1"/>
        </w:numPr>
      </w:pPr>
      <w:r>
        <w:t xml:space="preserve">5.</w:t>
      </w:r>
      <w:r>
        <w:tab/>
      </w:r>
      <w:r>
        <w:t xml:space="preserve">On lots containing a residential dwelling or structure, farm structures shall be prohibited in the front yard or exterior side yard.</w:t>
      </w:r>
    </w:p>
    <w:p>
      <w:pPr>
        <w:pStyle w:val="ListParagraph"/>
        <w:numPr>
          <w:ilvl w:val="1"/>
          <w:numId w:val="1"/>
        </w:numPr>
      </w:pPr>
      <w:r>
        <w:t xml:space="preserve">6.</w:t>
      </w:r>
      <w:r>
        <w:tab/>
      </w:r>
      <w:r>
        <w:t xml:space="preserve">Farm structures shall be setback five (5) or more feet from all lot lines.</w:t>
      </w:r>
    </w:p>
    <w:p>
      <w:pPr>
        <w:pStyle w:val="ListParagraph"/>
        <w:numPr>
          <w:ilvl w:val="1"/>
          <w:numId w:val="1"/>
        </w:numPr>
      </w:pPr>
      <w:r>
        <w:t xml:space="preserve">7.</w:t>
      </w:r>
      <w:r>
        <w:tab/>
      </w:r>
      <w:r>
        <w:t xml:space="preserve">The use of freight containers in connection with urban farming is permitted in ML, MG, A or IN zoning districts only.</w:t>
      </w:r>
    </w:p>
    <w:p>
      <w:pPr>
        <w:pStyle w:val="ListParagraph"/>
        <w:numPr>
          <w:ilvl w:val="1"/>
          <w:numId w:val="1"/>
        </w:numPr>
      </w:pPr>
      <w:r>
        <w:t xml:space="preserve">8.</w:t>
      </w:r>
      <w:r>
        <w:tab/>
      </w:r>
      <w:r>
        <w:t xml:space="preserve">An urban farm shall be maintained, at all times, in a healthy growing condition and operated in a manner so as to not constitute a nuisance. Farm structures shall be maintained in good repair and in a safe and sanitary condition, so as to not cause or contribute to the creation of a hazardous area or a nuisance.</w:t>
      </w:r>
    </w:p>
    <w:p>
      <w:pPr>
        <w:pStyle w:val="ListParagraph"/>
        <w:numPr>
          <w:ilvl w:val="1"/>
          <w:numId w:val="1"/>
        </w:numPr>
      </w:pPr>
      <w:r>
        <w:t xml:space="preserve">9.</w:t>
      </w:r>
      <w:r>
        <w:tab/>
      </w:r>
      <w:r>
        <w:t xml:space="preserve">An urban farm shall be operated in accordance with all food, health, soil safety, water and other applicable regulations.</w:t>
      </w:r>
    </w:p>
    <w:p>
      <w:pPr>
        <w:pStyle w:val="ListParagraph"/>
        <w:numPr>
          <w:ilvl w:val="1"/>
          <w:numId w:val="1"/>
        </w:numPr>
      </w:pPr>
      <w:r>
        <w:t xml:space="preserve">10.</w:t>
      </w:r>
      <w:r>
        <w:tab/>
      </w:r>
      <w:r>
        <w:t xml:space="preserve">Except for an accessory farm stand or farmers’ market pursuant to this Section, on-site retail food sales from an urban farm shall be permitted in the zoning districts determined by Table 4.1.</w:t>
      </w:r>
    </w:p>
    <w:p>
      <w:pPr>
        <w:pStyle w:val="ListParagraph"/>
        <w:numPr>
          <w:ilvl w:val="0"/>
          <w:numId w:val="1"/>
        </w:numPr>
      </w:pPr>
      <w:r>
        <w:t xml:space="preserve">D.</w:t>
      </w:r>
      <w:r>
        <w:tab/>
      </w:r>
      <w:r>
        <w:t xml:space="preserve">Community Garden</w:t>
      </w:r>
    </w:p>
    <w:p>
      <w:pPr>
        <w:pStyle w:val="ListParagraph"/>
        <w:numPr>
          <w:ilvl w:val="1"/>
          <w:numId w:val="1"/>
        </w:numPr>
      </w:pPr>
      <w:r>
        <w:t xml:space="preserve">1.</w:t>
      </w:r>
      <w:r>
        <w:tab/>
      </w:r>
      <w:r>
        <w:t xml:space="preserve">A community garden shall be permitted in the zoning districts determined by Table 4.1.</w:t>
      </w:r>
    </w:p>
    <w:p>
      <w:pPr>
        <w:pStyle w:val="ListParagraph"/>
        <w:numPr>
          <w:ilvl w:val="1"/>
          <w:numId w:val="1"/>
        </w:numPr>
      </w:pPr>
      <w:r>
        <w:t xml:space="preserve">2.</w:t>
      </w:r>
      <w:r>
        <w:tab/>
      </w:r>
      <w:r>
        <w:t xml:space="preserve">All community gardens shall have a garden manager responsible for the operation of the garden. The garden manager’s name, phone number and email address shall be posted so as to be visible from public view.</w:t>
      </w:r>
    </w:p>
    <w:p>
      <w:pPr>
        <w:pStyle w:val="ListParagraph"/>
        <w:numPr>
          <w:ilvl w:val="1"/>
          <w:numId w:val="1"/>
        </w:numPr>
      </w:pPr>
      <w:r>
        <w:t xml:space="preserve">3.</w:t>
      </w:r>
      <w:r>
        <w:tab/>
      </w:r>
      <w:r>
        <w:t xml:space="preserve">The provisions set forth in Section C(5) through C(9) above, relative to urban farms, shall apply to community gardens.</w:t>
      </w:r>
    </w:p>
    <w:p>
      <w:pPr>
        <w:pStyle w:val="ListParagraph"/>
        <w:numPr>
          <w:ilvl w:val="0"/>
          <w:numId w:val="1"/>
        </w:numPr>
      </w:pPr>
      <w:r>
        <w:t xml:space="preserve">E.</w:t>
      </w:r>
      <w:r>
        <w:tab/>
      </w:r>
      <w:r>
        <w:t xml:space="preserve">Farm Stands</w:t>
      </w:r>
    </w:p>
    <w:p>
      <w:pPr>
        <w:pStyle w:val="ListParagraph"/>
        <w:numPr>
          <w:ilvl w:val="1"/>
          <w:numId w:val="1"/>
        </w:numPr>
      </w:pPr>
      <w:r>
        <w:t xml:space="preserve">1.</w:t>
      </w:r>
      <w:r>
        <w:tab/>
      </w:r>
      <w:r>
        <w:t xml:space="preserve">In addition to the requirements set forth in Article IV, Section 8, farm stands shall be allowed as an accessory use provided the following requirements are met:</w:t>
      </w:r>
    </w:p>
    <w:p>
      <w:pPr>
        <w:pStyle w:val="ListParagraph"/>
        <w:numPr>
          <w:ilvl w:val="2"/>
          <w:numId w:val="1"/>
        </w:numPr>
      </w:pPr>
      <w:r>
        <w:t xml:space="preserve">i)</w:t>
      </w:r>
      <w:r>
        <w:tab/>
      </w:r>
      <w:r>
        <w:t xml:space="preserve">Farm stand sales are permitted on no more than three (3) days per week;</w:t>
      </w:r>
    </w:p>
    <w:p>
      <w:pPr>
        <w:pStyle w:val="ListParagraph"/>
        <w:numPr>
          <w:ilvl w:val="3"/>
          <w:numId w:val="1"/>
        </w:numPr>
      </w:pPr>
      <w:r>
        <w:t xml:space="preserve">ii)</w:t>
      </w:r>
      <w:r>
        <w:tab/>
      </w:r>
      <w:r>
        <w:t xml:space="preserve">The sales area, including tables, stands and displays, shall not exceed 150 square feet;</w:t>
      </w:r>
    </w:p>
    <w:p>
      <w:pPr>
        <w:pStyle w:val="ListParagraph"/>
        <w:numPr>
          <w:ilvl w:val="3"/>
          <w:numId w:val="1"/>
        </w:numPr>
      </w:pPr>
      <w:r>
        <w:t xml:space="preserve">iii)</w:t>
      </w:r>
      <w:r>
        <w:tab/>
      </w:r>
      <w:r>
        <w:t xml:space="preserve">Signage shall be limited to one sign not to exceed six square feet in size, which may only be displayed when open for sales;</w:t>
      </w:r>
    </w:p>
    <w:p>
      <w:pPr>
        <w:pStyle w:val="ListParagraph"/>
        <w:numPr>
          <w:ilvl w:val="3"/>
          <w:numId w:val="1"/>
        </w:numPr>
      </w:pPr>
      <w:r>
        <w:t xml:space="preserve">iv)</w:t>
      </w:r>
      <w:r>
        <w:tab/>
      </w:r>
      <w:r>
        <w:t xml:space="preserve">Sales area and displays shall be located on private property, shall not encroach upon the public sidewalk or right-of-way, and shall be setback a minimum of five</w:t>
      </w:r>
    </w:p>
    <w:p>
      <w:pPr>
        <w:pStyle w:val="ListParagraph"/>
        <w:numPr>
          <w:ilvl w:val="1"/>
          <w:numId w:val="1"/>
        </w:numPr>
      </w:pPr>
      <w:r>
        <w:t xml:space="preserve">(5)</w:t>
      </w:r>
      <w:r>
        <w:tab/>
      </w:r>
      <w:r>
        <w:t xml:space="preserve">feet from any lot line;</w:t>
      </w:r>
    </w:p>
    <w:p>
      <w:pPr>
        <w:pStyle w:val="ListParagraph"/>
        <w:numPr>
          <w:ilvl w:val="2"/>
          <w:numId w:val="1"/>
        </w:numPr>
      </w:pPr>
      <w:r>
        <w:t xml:space="preserve">v)</w:t>
      </w:r>
      <w:r>
        <w:tab/>
      </w:r>
      <w:r>
        <w:t xml:space="preserve">Farm stands shall be operated in accordance with all food, health, soil safety, and other applicable regulations or permits; and</w:t>
      </w:r>
    </w:p>
    <w:p>
      <w:pPr>
        <w:pStyle w:val="ListParagraph"/>
        <w:numPr>
          <w:ilvl w:val="3"/>
          <w:numId w:val="1"/>
        </w:numPr>
      </w:pPr>
      <w:r>
        <w:t xml:space="preserve">vi)</w:t>
      </w:r>
      <w:r>
        <w:tab/>
      </w:r>
      <w:r>
        <w:t xml:space="preserve">Farms stands shall not be permitted as an accessory use to a community garden.</w:t>
      </w:r>
    </w:p>
    <w:p>
      <w:pPr>
        <w:pStyle w:val="ListParagraph"/>
        <w:numPr>
          <w:ilvl w:val="0"/>
          <w:numId w:val="1"/>
        </w:numPr>
      </w:pPr>
      <w:r>
        <w:t xml:space="preserve">F.</w:t>
      </w:r>
      <w:r>
        <w:tab/>
      </w:r>
      <w:r>
        <w:t xml:space="preserve">Farmers’ Markets</w:t>
      </w:r>
    </w:p>
    <w:p>
      <w:pPr>
        <w:pStyle w:val="ListParagraph"/>
        <w:numPr>
          <w:ilvl w:val="1"/>
          <w:numId w:val="1"/>
        </w:numPr>
      </w:pPr>
      <w:r>
        <w:t xml:space="preserve">1.</w:t>
      </w:r>
      <w:r>
        <w:tab/>
      </w:r>
      <w:r>
        <w:t xml:space="preserve">A farmers’ market shall be a permitted use in the zoning districts determined by Table 4.1.</w:t>
      </w:r>
    </w:p>
    <w:p>
      <w:pPr>
        <w:pStyle w:val="ListParagraph"/>
        <w:numPr>
          <w:ilvl w:val="1"/>
          <w:numId w:val="1"/>
        </w:numPr>
      </w:pPr>
      <w:r>
        <w:t xml:space="preserve">2.</w:t>
      </w:r>
      <w:r>
        <w:tab/>
      </w:r>
      <w:r>
        <w:t xml:space="preserve">A farmers’ market shall not operate for more than ten (10) hours per day nor more than three (3) days per week.</w:t>
      </w:r>
    </w:p>
    <w:p>
      <w:pPr>
        <w:pStyle w:val="ListParagraph"/>
        <w:numPr>
          <w:ilvl w:val="1"/>
          <w:numId w:val="1"/>
        </w:numPr>
      </w:pPr>
      <w:r>
        <w:t xml:space="preserve">3.</w:t>
      </w:r>
      <w:r>
        <w:tab/>
      </w:r>
      <w:r>
        <w:t xml:space="preserve">At least eighty percent (80%) of vendors must primarily sell food, produce, plants, flowers or other agricultural products produced by the vendors.</w:t>
      </w:r>
    </w:p>
    <w:p>
      <w:pPr>
        <w:pStyle w:val="ListParagraph"/>
        <w:numPr>
          <w:ilvl w:val="1"/>
          <w:numId w:val="1"/>
        </w:numPr>
      </w:pPr>
      <w:r>
        <w:t xml:space="preserve">4.</w:t>
      </w:r>
      <w:r>
        <w:tab/>
      </w:r>
      <w:r>
        <w:t xml:space="preserve">Stands, tables, tents, booths and similar components shall be setback five (5) feet from all lot lines.</w:t>
      </w:r>
    </w:p>
    <w:p>
      <w:pPr>
        <w:pStyle w:val="ListParagraph"/>
        <w:numPr>
          <w:ilvl w:val="1"/>
          <w:numId w:val="1"/>
        </w:numPr>
      </w:pPr>
      <w:r>
        <w:t xml:space="preserve">5.</w:t>
      </w:r>
      <w:r>
        <w:tab/>
      </w:r>
      <w:r>
        <w:t xml:space="preserve">Farmers’ markets shall have a market manager authorized to direct the operations of all vendors.</w:t>
      </w:r>
    </w:p>
    <w:p>
      <w:pPr>
        <w:pStyle w:val="ListParagraph"/>
        <w:numPr>
          <w:ilvl w:val="1"/>
          <w:numId w:val="1"/>
        </w:numPr>
      </w:pPr>
      <w:r>
        <w:t xml:space="preserve">6.</w:t>
      </w:r>
      <w:r>
        <w:tab/>
      </w:r>
      <w:r>
        <w:t xml:space="preserve">Farmers’ markets shall be operated in accordance with all food, health, soil safety, and other applicable regulations or permits.</w:t>
      </w:r>
    </w:p>
    <w:p>
      <w:pPr>
        <w:pStyle w:val="ListParagraph"/>
        <w:numPr>
          <w:ilvl w:val="0"/>
          <w:numId w:val="1"/>
        </w:numPr>
      </w:pPr>
      <w:r>
        <w:t xml:space="preserve">H.</w:t>
      </w:r>
      <w:r>
        <w:tab/>
      </w:r>
      <w:r>
        <w:t xml:space="preserve">Yard Garden</w:t>
      </w:r>
    </w:p>
    <w:p>
      <w:pPr>
        <w:pStyle w:val="ListParagraph"/>
        <w:numPr>
          <w:ilvl w:val="1"/>
          <w:numId w:val="1"/>
        </w:numPr>
      </w:pPr>
      <w:r>
        <w:t xml:space="preserve">1.</w:t>
      </w:r>
      <w:r>
        <w:tab/>
      </w:r>
      <w:r>
        <w:t xml:space="preserve">In addition to the requirements set forth in Article IV, Section 8, yard gardens shall be permitted as an accessory use in all zoning districts provided the following requirements are met:</w:t>
      </w:r>
    </w:p>
    <w:p>
      <w:pPr>
        <w:pStyle w:val="ListParagraph"/>
        <w:numPr>
          <w:ilvl w:val="2"/>
          <w:numId w:val="1"/>
        </w:numPr>
      </w:pPr>
      <w:r>
        <w:t xml:space="preserve">i)</w:t>
      </w:r>
      <w:r>
        <w:tab/>
      </w:r>
      <w:r>
        <w:t xml:space="preserve">Farm structures shall be setback five (5) or more feet from all lot lines;</w:t>
      </w:r>
    </w:p>
    <w:p>
      <w:pPr>
        <w:pStyle w:val="ListParagraph"/>
        <w:numPr>
          <w:ilvl w:val="3"/>
          <w:numId w:val="1"/>
        </w:numPr>
      </w:pPr>
      <w:r>
        <w:t xml:space="preserve">ii)</w:t>
      </w:r>
      <w:r>
        <w:tab/>
      </w:r>
      <w:r>
        <w:t xml:space="preserve">Farm structures shall not exceed fifteen (15) feet in height;</w:t>
      </w:r>
    </w:p>
    <w:p>
      <w:pPr>
        <w:pStyle w:val="ListParagraph"/>
        <w:numPr>
          <w:ilvl w:val="3"/>
          <w:numId w:val="1"/>
        </w:numPr>
      </w:pPr>
      <w:r>
        <w:t xml:space="preserve">iii)</w:t>
      </w:r>
      <w:r>
        <w:tab/>
      </w:r>
      <w:r>
        <w:t xml:space="preserve">Farm structures shall not occupy the front or exterior side yard;</w:t>
      </w:r>
    </w:p>
    <w:p>
      <w:pPr>
        <w:pStyle w:val="ListParagraph"/>
        <w:numPr>
          <w:ilvl w:val="3"/>
          <w:numId w:val="1"/>
        </w:numPr>
      </w:pPr>
      <w:r>
        <w:t xml:space="preserve">iii)</w:t>
      </w:r>
      <w:r>
        <w:tab/>
      </w:r>
      <w:r>
        <w:t xml:space="preserve">Yard gardens shall be maintained, at all times, in a healthy growing condition and operated in a manner so as to not constitute a nuisance; and</w:t>
      </w:r>
    </w:p>
    <w:p>
      <w:pPr>
        <w:pStyle w:val="ListParagraph"/>
        <w:numPr>
          <w:ilvl w:val="3"/>
          <w:numId w:val="1"/>
        </w:numPr>
      </w:pPr>
      <w:r>
        <w:t xml:space="preserve">iv)</w:t>
      </w:r>
      <w:r>
        <w:tab/>
      </w:r>
      <w:r>
        <w:t xml:space="preserve">The use of freight containers is prohibited.</w:t>
      </w:r>
    </w:p>
    <w:p>
      <w:pPr>
        <w:pStyle w:val="ListParagraph"/>
        <w:numPr>
          <w:ilvl w:val="3"/>
          <w:numId w:val="1"/>
        </w:numPr>
      </w:pPr>
      <w:r>
        <w:t xml:space="preserve">I.</w:t>
      </w:r>
      <w:r>
        <w:tab/>
      </w:r>
      <w:r>
        <w:t xml:space="preserve">On-site Composting</w:t>
      </w:r>
    </w:p>
    <w:p>
      <w:pPr>
        <w:pStyle w:val="ListParagraph"/>
        <w:numPr>
          <w:ilvl w:val="1"/>
          <w:numId w:val="1"/>
        </w:numPr>
      </w:pPr>
      <w:r>
        <w:t xml:space="preserve">1.</w:t>
      </w:r>
      <w:r>
        <w:tab/>
      </w:r>
      <w:r>
        <w:t xml:space="preserve">In addition to the requirements set forth in Article IV, Section 8, composting for use on-site shall be permitted as an accessory use in all zoning districts provided the following requirements are met:</w:t>
      </w:r>
    </w:p>
    <w:p>
      <w:pPr>
        <w:pStyle w:val="ListParagraph"/>
        <w:numPr>
          <w:ilvl w:val="2"/>
          <w:numId w:val="1"/>
        </w:numPr>
      </w:pPr>
      <w:r>
        <w:t xml:space="preserve">i)</w:t>
      </w:r>
      <w:r>
        <w:tab/>
      </w:r>
      <w:r>
        <w:t xml:space="preserve">On lots containing a principal building, composting shall not be located in the front or exterior side yard;</w:t>
      </w:r>
    </w:p>
    <w:p>
      <w:pPr>
        <w:pStyle w:val="ListParagraph"/>
        <w:numPr>
          <w:ilvl w:val="3"/>
          <w:numId w:val="1"/>
        </w:numPr>
      </w:pPr>
      <w:r>
        <w:t xml:space="preserve">ii)</w:t>
      </w:r>
      <w:r>
        <w:tab/>
      </w:r>
      <w:r>
        <w:t xml:space="preserve">On vacant lots or lots only containing farm structures, composting shall not be located within twenty (20) feet of the front lot line;</w:t>
      </w:r>
    </w:p>
    <w:p>
      <w:pPr>
        <w:pStyle w:val="ListParagraph"/>
        <w:numPr>
          <w:ilvl w:val="3"/>
          <w:numId w:val="1"/>
        </w:numPr>
      </w:pPr>
      <w:r>
        <w:t xml:space="preserve">iii)</w:t>
      </w:r>
      <w:r>
        <w:tab/>
      </w:r>
      <w:r>
        <w:t xml:space="preserve">Composting shall be setback a minimum of five (5) feet from any rear or side lot line;</w:t>
      </w:r>
    </w:p>
    <w:p>
      <w:pPr>
        <w:pStyle w:val="ListParagraph"/>
        <w:numPr>
          <w:ilvl w:val="3"/>
          <w:numId w:val="1"/>
        </w:numPr>
      </w:pPr>
      <w:r>
        <w:t xml:space="preserve">iv)</w:t>
      </w:r>
      <w:r>
        <w:tab/>
      </w:r>
      <w:r>
        <w:t xml:space="preserve">Areas dedicated to composting shall not exceed 200 square feet; and</w:t>
      </w:r>
    </w:p>
    <w:p>
      <w:pPr>
        <w:pStyle w:val="ListParagraph"/>
        <w:numPr>
          <w:ilvl w:val="2"/>
          <w:numId w:val="1"/>
        </w:numPr>
      </w:pPr>
      <w:r>
        <w:t xml:space="preserve">v)</w:t>
      </w:r>
      <w:r>
        <w:tab/>
      </w:r>
      <w:r>
        <w:t xml:space="preserve">Accessory composting shall be for use on site; production of compost for commercial purposes, use elsewhere, or sale shall not be considered an accessory use.</w:t>
      </w:r>
    </w:p>
    <w:p>
      <w:pPr>
        <w:pStyle w:val="ListParagraph"/>
        <w:numPr>
          <w:ilvl w:val="0"/>
          <w:numId w:val="1"/>
        </w:numPr>
      </w:pPr>
      <w:r>
        <w:t xml:space="preserve">J.</w:t>
      </w:r>
      <w:r>
        <w:tab/>
      </w:r>
      <w:r>
        <w:t xml:space="preserve">Applicability The provisions of this Section shall not apply to agriculture, horticulture, flora culture and viticulture exempt from local zoning under </w:t>
      </w:r>
      <w:r>
        <w:t xml:space="preserve">M.G.L. c.40A, §3</w:t>
      </w:r>
      <w:r>
        <w:t xml:space="preserve">.</w:t>
      </w:r>
    </w:p>
    <w:p>
      <w:pPr>
        <w:pStyle w:val="Heading3"/>
      </w:pPr>
      <w:r>
        <w:t xml:space="preserve">§ 1. Application</w:t>
      </w:r>
    </w:p>
    <w:p>
      <w:pPr>
        <w:pStyle w:val="ListParagraph"/>
        <w:numPr>
          <w:ilvl w:val="0"/>
          <w:numId w:val="1"/>
        </w:numPr>
      </w:pPr>
      <w:r>
        <w:t xml:space="preserve">A.</w:t>
      </w:r>
      <w:r>
        <w:tab/>
      </w:r>
      <w:r>
        <w:t xml:space="preserve">No building, structure or land, in any district, may be used, erected, altered or expanded, in whole or in part, for any use not expressly permitted in that district unless as a permitted accessory use pursuant to Article IV, Section-8. Uses permitted in a district are permitted to occur together as primary uses for a building, structure or land with applicable regulations applied proportionally to each.</w:t>
      </w:r>
    </w:p>
    <w:p>
      <w:pPr>
        <w:pStyle w:val="ListParagraph"/>
        <w:numPr>
          <w:ilvl w:val="0"/>
          <w:numId w:val="1"/>
        </w:numPr>
      </w:pPr>
      <w:r>
        <w:t xml:space="preserve">B.</w:t>
      </w:r>
      <w:r>
        <w:tab/>
      </w:r>
      <w:r>
        <w:t xml:space="preserve">Lots in two (2) or more districts may have uses permitted in the district only on that portion of the lot within the district.</w:t>
      </w:r>
    </w:p>
    <w:p>
      <w:pPr>
        <w:pStyle w:val="ListParagraph"/>
        <w:numPr>
          <w:ilvl w:val="0"/>
          <w:numId w:val="1"/>
        </w:numPr>
      </w:pPr>
      <w:r>
        <w:t xml:space="preserve">C.</w:t>
      </w:r>
      <w:r>
        <w:tab/>
      </w:r>
      <w:r>
        <w:t xml:space="preserve">Those uses permitted in certain districts only upon grant of a special permit as specified herein may be carried on only upon grant of the special permit.</w:t>
      </w:r>
    </w:p>
    <w:p>
      <w:pPr>
        <w:pStyle w:val="ListParagraph"/>
        <w:numPr>
          <w:ilvl w:val="0"/>
          <w:numId w:val="1"/>
        </w:numPr>
      </w:pPr>
      <w:r>
        <w:t xml:space="preserve">D.</w:t>
      </w:r>
      <w:r>
        <w:tab/>
      </w:r>
      <w:r>
        <w:t xml:space="preserve">Where a particular use does not, in the interpretation of the Director of Code Enforcement, fall within a permitted category for that district, it shall be excluded in that district unless it can be established to the satisfaction of the Director of Code Enforcement, that it falls within one or both of the following categories:</w:t>
      </w:r>
    </w:p>
    <w:p>
      <w:pPr>
        <w:pStyle w:val="ListParagraph"/>
        <w:numPr>
          <w:ilvl w:val="1"/>
          <w:numId w:val="1"/>
        </w:numPr>
      </w:pPr>
      <w:r>
        <w:t xml:space="preserve">1.</w:t>
      </w:r>
      <w:r>
        <w:tab/>
      </w:r>
      <w:r>
        <w:t xml:space="preserve">Said use was lawfully in existence on the effective date of this Ordinance and can qualify as a privileged nonconforming use in accordance with law and the provisions of Article XVI of this Ordinance.</w:t>
      </w:r>
    </w:p>
    <w:p>
      <w:pPr>
        <w:pStyle w:val="ListParagraph"/>
        <w:numPr>
          <w:ilvl w:val="1"/>
          <w:numId w:val="1"/>
        </w:numPr>
      </w:pPr>
      <w:r>
        <w:t xml:space="preserve">2.</w:t>
      </w:r>
      <w:r>
        <w:tab/>
      </w:r>
      <w:r>
        <w:t xml:space="preserve">Said use has been granted a special permit and all the conditions of the special permit or variance have been satisfied.</w:t>
      </w:r>
    </w:p>
    <w:p>
      <w:pPr>
        <w:pStyle w:val="Heading3"/>
      </w:pPr>
      <w:r>
        <w:t xml:space="preserve">§ 2. Permitted Uses</w:t>
      </w:r>
    </w:p>
    <w:p>
      <w:r>
        <w:t xml:space="preserve">In each zoning district, the use of land, buildings and structures shall be regulated as set forth in this Ordinance. A use listed in Table 4.1 is permitted only in such district(s) under which such use is denoted by the letter “Y.” If denoted by the letters “SP”, a use may be permitted in such district upon the grant of a special permit. If denoted by the letter “N”, a use is not permitted in such district. The “Notes to Table 4.1”, provided at the end hereof, modify the permitted uses as shown on Table 4.1 and have the same force for regulating uses in each zoning district that Table</w:t>
      </w:r>
    </w:p>
    <w:p>
      <w:pPr>
        <w:pStyle w:val="ListParagraph"/>
        <w:numPr>
          <w:ilvl w:val="0"/>
          <w:numId w:val="1"/>
        </w:numPr>
      </w:pPr>
      <w:r>
        <w:t xml:space="preserve">4.1</w:t>
      </w:r>
      <w:r>
        <w:tab/>
      </w:r>
      <w:r>
        <w:t xml:space="preserve">has. TABLE 4.1 - PERMITTED USES BY ZONING DISTRICTS –RESIDENTIAL USE RS RS RL RG BO BO BL BG BG BG BG ML ML ML MG MG MG IP IN IN A 10 7 7 5 1 2 1 2 3 4 6 0.5 1 2 0.5 1 2 0.33 S H 1</w:t>
      </w:r>
    </w:p>
    <w:p>
      <w:pPr>
        <w:pStyle w:val="ListParagraph"/>
        <w:numPr>
          <w:ilvl w:val="1"/>
          <w:numId w:val="1"/>
        </w:numPr>
      </w:pPr>
      <w:r>
        <w:t xml:space="preserve">1.</w:t>
      </w:r>
      <w:r>
        <w:tab/>
      </w:r>
      <w:r>
        <w:t xml:space="preserve">Bed and Breakfast Establishment SP SP SP SP SP SP SP N N N N N N N N N N N N N N</w:t>
      </w:r>
    </w:p>
    <w:p>
      <w:pPr>
        <w:pStyle w:val="ListParagraph"/>
        <w:numPr>
          <w:ilvl w:val="1"/>
          <w:numId w:val="1"/>
        </w:numPr>
      </w:pPr>
      <w:r>
        <w:t xml:space="preserve">2.</w:t>
      </w:r>
      <w:r>
        <w:tab/>
      </w:r>
      <w:r>
        <w:t xml:space="preserve">Continuing care retirement SP SP SP SP SP SP SP SP SP SP SP N N N N N N N SP SP N community</w:t>
      </w:r>
    </w:p>
    <w:p>
      <w:pPr>
        <w:pStyle w:val="ListParagraph"/>
        <w:numPr>
          <w:ilvl w:val="1"/>
          <w:numId w:val="1"/>
        </w:numPr>
      </w:pPr>
      <w:r>
        <w:t xml:space="preserve">3.</w:t>
      </w:r>
      <w:r>
        <w:tab/>
      </w:r>
      <w:r>
        <w:t xml:space="preserve">Dormitory SP SP SP SP SP SP Y Y Y Y Y N N N N N N N Y Y N</w:t>
      </w:r>
    </w:p>
    <w:p>
      <w:pPr>
        <w:pStyle w:val="ListParagraph"/>
        <w:numPr>
          <w:ilvl w:val="1"/>
          <w:numId w:val="1"/>
        </w:numPr>
      </w:pPr>
      <w:r>
        <w:t xml:space="preserve">4.</w:t>
      </w:r>
      <w:r>
        <w:tab/>
      </w:r>
      <w:r>
        <w:t xml:space="preserve">Family day care home Y Y Y Y Y Y Y Y Y Y Y Y Y Y Y Y Y Y Y Y Y</w:t>
      </w:r>
    </w:p>
    <w:p>
      <w:pPr>
        <w:pStyle w:val="ListParagraph"/>
        <w:numPr>
          <w:ilvl w:val="1"/>
          <w:numId w:val="1"/>
        </w:numPr>
      </w:pPr>
      <w:r>
        <w:t xml:space="preserve">5.</w:t>
      </w:r>
      <w:r>
        <w:tab/>
      </w:r>
      <w:r>
        <w:t xml:space="preserve">Fraternity/sorority/ cooperative SP SP SP SP SP SP Y Y Y Y Y N N N N N N N Y Y N residence</w:t>
      </w:r>
    </w:p>
    <w:p>
      <w:pPr>
        <w:pStyle w:val="ListParagraph"/>
        <w:numPr>
          <w:ilvl w:val="1"/>
          <w:numId w:val="1"/>
        </w:numPr>
      </w:pPr>
      <w:r>
        <w:t xml:space="preserve">6.</w:t>
      </w:r>
      <w:r>
        <w:tab/>
      </w:r>
      <w:r>
        <w:t xml:space="preserve">Group residence (general or limited) Y Y Y Y Y Y Y Y Y Y Y Y Y Y Y Y Y Y Y Y Y</w:t>
      </w:r>
    </w:p>
    <w:p>
      <w:pPr>
        <w:pStyle w:val="ListParagraph"/>
        <w:numPr>
          <w:ilvl w:val="1"/>
          <w:numId w:val="1"/>
        </w:numPr>
      </w:pPr>
      <w:r>
        <w:t xml:space="preserve">7.</w:t>
      </w:r>
      <w:r>
        <w:tab/>
      </w:r>
      <w:r>
        <w:t xml:space="preserve">Limited Residential Hospice SP SP SP SP N SP N N N N N N N N N N N N N N N House</w:t>
      </w:r>
    </w:p>
    <w:p>
      <w:pPr>
        <w:pStyle w:val="ListParagraph"/>
        <w:numPr>
          <w:ilvl w:val="1"/>
          <w:numId w:val="1"/>
        </w:numPr>
      </w:pPr>
      <w:r>
        <w:t xml:space="preserve">8.</w:t>
      </w:r>
      <w:r>
        <w:tab/>
      </w:r>
      <w:r>
        <w:t xml:space="preserve">Lodging house N N N SP SP SP SP SP SP SP SP N N N N N N N N N N</w:t>
      </w:r>
    </w:p>
    <w:p>
      <w:pPr>
        <w:pStyle w:val="ListParagraph"/>
        <w:numPr>
          <w:ilvl w:val="1"/>
          <w:numId w:val="1"/>
        </w:numPr>
      </w:pPr>
      <w:r>
        <w:t xml:space="preserve">9.</w:t>
      </w:r>
      <w:r>
        <w:tab/>
      </w:r>
      <w:r>
        <w:t xml:space="preserve">Mobile homes N N N N N N N N N N N N N N N N N N N N N</w:t>
      </w:r>
    </w:p>
    <w:p>
      <w:pPr>
        <w:pStyle w:val="ListParagraph"/>
        <w:numPr>
          <w:ilvl w:val="1"/>
          <w:numId w:val="1"/>
        </w:numPr>
      </w:pPr>
      <w:r>
        <w:t xml:space="preserve">10.</w:t>
      </w:r>
      <w:r>
        <w:tab/>
      </w:r>
      <w:r>
        <w:t xml:space="preserve">Multi-family dwelling, high rise N N N Y N N N Y Y Y Y N N N N N N N N SP N</w:t>
      </w:r>
    </w:p>
    <w:p>
      <w:pPr>
        <w:pStyle w:val="ListParagraph"/>
        <w:numPr>
          <w:ilvl w:val="1"/>
          <w:numId w:val="1"/>
        </w:numPr>
      </w:pPr>
      <w:r>
        <w:t xml:space="preserve">11.</w:t>
      </w:r>
      <w:r>
        <w:tab/>
      </w:r>
      <w:r>
        <w:t xml:space="preserve">Multi-family dwelling, low rise N N SP Y Y Y Y Y Y Y Y N N N N N N N SP SP N</w:t>
      </w:r>
    </w:p>
    <w:p>
      <w:pPr>
        <w:pStyle w:val="ListParagraph"/>
        <w:numPr>
          <w:ilvl w:val="1"/>
          <w:numId w:val="1"/>
        </w:numPr>
      </w:pPr>
      <w:r>
        <w:t xml:space="preserve">12.</w:t>
      </w:r>
      <w:r>
        <w:tab/>
      </w:r>
      <w:r>
        <w:t xml:space="preserve">Single-family attached dwelling N N SP Y Y Y Y Y Y Y N N N N N N N N Y Y N</w:t>
      </w:r>
    </w:p>
    <w:p>
      <w:pPr>
        <w:pStyle w:val="ListParagraph"/>
        <w:numPr>
          <w:ilvl w:val="1"/>
          <w:numId w:val="1"/>
        </w:numPr>
      </w:pPr>
      <w:r>
        <w:t xml:space="preserve">13.</w:t>
      </w:r>
      <w:r>
        <w:tab/>
      </w:r>
      <w:r>
        <w:t xml:space="preserve">Single-family detached dwelling Y Y Y Y Y Y Y Y Y Y N N N N N N N N Y Y N</w:t>
      </w:r>
    </w:p>
    <w:p>
      <w:pPr>
        <w:pStyle w:val="ListParagraph"/>
        <w:numPr>
          <w:ilvl w:val="1"/>
          <w:numId w:val="1"/>
        </w:numPr>
      </w:pPr>
      <w:r>
        <w:t xml:space="preserve">14.</w:t>
      </w:r>
      <w:r>
        <w:tab/>
      </w:r>
      <w:r>
        <w:t xml:space="preserve">Single-family semi-detached N N Y Y Y Y Y Y Y Y N N N N N N N N Y Y N dwelling</w:t>
      </w:r>
    </w:p>
    <w:p>
      <w:pPr>
        <w:pStyle w:val="ListParagraph"/>
        <w:numPr>
          <w:ilvl w:val="1"/>
          <w:numId w:val="1"/>
        </w:numPr>
      </w:pPr>
      <w:r>
        <w:t xml:space="preserve">15.</w:t>
      </w:r>
      <w:r>
        <w:tab/>
      </w:r>
      <w:r>
        <w:t xml:space="preserve">Temporary shelter SP SP SP SP SP SP SP SP SP SP SP SP SP SP SP SP SP SP SP SP SP</w:t>
      </w:r>
    </w:p>
    <w:p>
      <w:pPr>
        <w:pStyle w:val="ListParagraph"/>
        <w:numPr>
          <w:ilvl w:val="1"/>
          <w:numId w:val="1"/>
        </w:numPr>
      </w:pPr>
      <w:r>
        <w:t xml:space="preserve">16.</w:t>
      </w:r>
      <w:r>
        <w:tab/>
      </w:r>
      <w:r>
        <w:t xml:space="preserve">Three-family detached dwelling N N SP Y Y Y Y Y Y Y Y N N N N N N N Y Y N</w:t>
      </w:r>
    </w:p>
    <w:p>
      <w:pPr>
        <w:pStyle w:val="ListParagraph"/>
        <w:numPr>
          <w:ilvl w:val="1"/>
          <w:numId w:val="1"/>
        </w:numPr>
      </w:pPr>
      <w:r>
        <w:t xml:space="preserve">17.</w:t>
      </w:r>
      <w:r>
        <w:tab/>
      </w:r>
      <w:r>
        <w:t xml:space="preserve">Two-family detached dwelling N N Y Y Y Y Y Y Y Y Y N N N N N N N Y Y N</w:t>
      </w:r>
    </w:p>
    <w:p>
      <w:pPr>
        <w:pStyle w:val="ListParagraph"/>
        <w:numPr>
          <w:ilvl w:val="1"/>
          <w:numId w:val="1"/>
        </w:numPr>
      </w:pPr>
      <w:r>
        <w:t xml:space="preserve">18.</w:t>
      </w:r>
      <w:r>
        <w:tab/>
      </w:r>
      <w:r>
        <w:t xml:space="preserve">Loft, Creative Entrepreneur N N N N Y Y Y Y Y Y Y N N N N N N N N N N</w:t>
      </w:r>
    </w:p>
    <w:p>
      <w:pPr>
        <w:pStyle w:val="ListParagraph"/>
        <w:numPr>
          <w:ilvl w:val="1"/>
          <w:numId w:val="1"/>
        </w:numPr>
      </w:pPr>
      <w:r>
        <w:t xml:space="preserve">19.</w:t>
      </w:r>
      <w:r>
        <w:tab/>
      </w:r>
      <w:r>
        <w:t xml:space="preserve">Accessory Dwelling Unit (ADU) Y Y Y Y Y Y Y Y Y Y Y Y Y Y Y Y Y N Y Y Y Y – Yes; N – No; SP – Special Permit PERMITTED USES BY ZONING DISTRICTS – Table 4.1 GENERAL USE RS RS RL RG BO BO BL BG BG BG BG ML ML ML MG MG MG IP IN IN A 10 7 7 5 1 2 1 2 3 4 6 0.5 1 2 0.5 1 2 0.33 S H 1</w:t>
      </w:r>
    </w:p>
    <w:p>
      <w:pPr>
        <w:pStyle w:val="ListParagraph"/>
        <w:numPr>
          <w:ilvl w:val="1"/>
          <w:numId w:val="1"/>
        </w:numPr>
      </w:pPr>
      <w:r>
        <w:t xml:space="preserve">1.</w:t>
      </w:r>
      <w:r>
        <w:tab/>
      </w:r>
      <w:r>
        <w:t xml:space="preserve">Urban Farm SP SP SP Y Y Y Y Y Y Y Y Y Y Y Y Y Y Y Y Y Y</w:t>
      </w:r>
    </w:p>
    <w:p>
      <w:pPr>
        <w:pStyle w:val="ListParagraph"/>
        <w:numPr>
          <w:ilvl w:val="1"/>
          <w:numId w:val="1"/>
        </w:numPr>
      </w:pPr>
      <w:r>
        <w:t xml:space="preserve">2.</w:t>
      </w:r>
      <w:r>
        <w:tab/>
      </w:r>
      <w:r>
        <w:t xml:space="preserve">Cemetery, crematory, memorial N N N N N N N N N N N N N N N N N N N N N park</w:t>
      </w:r>
    </w:p>
    <w:p>
      <w:pPr>
        <w:pStyle w:val="ListParagraph"/>
        <w:numPr>
          <w:ilvl w:val="1"/>
          <w:numId w:val="1"/>
        </w:numPr>
      </w:pPr>
      <w:r>
        <w:t xml:space="preserve">3.</w:t>
      </w:r>
      <w:r>
        <w:tab/>
      </w:r>
      <w:r>
        <w:t xml:space="preserve">Clinic N N N N Y Y Y Y Y Y Y SP SP SP SP SP SP N N Y N</w:t>
      </w:r>
    </w:p>
    <w:p>
      <w:pPr>
        <w:pStyle w:val="ListParagraph"/>
        <w:numPr>
          <w:ilvl w:val="1"/>
          <w:numId w:val="1"/>
        </w:numPr>
      </w:pPr>
      <w:r>
        <w:t xml:space="preserve">4.</w:t>
      </w:r>
      <w:r>
        <w:tab/>
      </w:r>
      <w:r>
        <w:t xml:space="preserve">Club, lodge, other private grounds SP SP SP SP SP SP Y Y Y Y Y SP SP SP SP SP SP N N N N (non-profit and private)</w:t>
      </w:r>
    </w:p>
    <w:p>
      <w:pPr>
        <w:pStyle w:val="ListParagraph"/>
        <w:numPr>
          <w:ilvl w:val="1"/>
          <w:numId w:val="1"/>
        </w:numPr>
      </w:pPr>
      <w:r>
        <w:t xml:space="preserve">5.</w:t>
      </w:r>
      <w:r>
        <w:tab/>
      </w:r>
      <w:r>
        <w:t xml:space="preserve">Day Care Center Y Y Y Y Y Y Y Y Y Y Y Y Y Y Y Y Y Y Y Y Y</w:t>
      </w:r>
    </w:p>
    <w:p>
      <w:pPr>
        <w:pStyle w:val="ListParagraph"/>
        <w:numPr>
          <w:ilvl w:val="1"/>
          <w:numId w:val="1"/>
        </w:numPr>
      </w:pPr>
      <w:r>
        <w:t xml:space="preserve">6.</w:t>
      </w:r>
      <w:r>
        <w:tab/>
      </w:r>
      <w:r>
        <w:t xml:space="preserve">Heliport N N N N N N N SP SP SP SP SP SP SP SP SP SP SP SP SP Y</w:t>
      </w:r>
    </w:p>
    <w:p>
      <w:pPr>
        <w:pStyle w:val="ListParagraph"/>
        <w:numPr>
          <w:ilvl w:val="1"/>
          <w:numId w:val="1"/>
        </w:numPr>
      </w:pPr>
      <w:r>
        <w:t xml:space="preserve">7.</w:t>
      </w:r>
      <w:r>
        <w:tab/>
      </w:r>
      <w:r>
        <w:t xml:space="preserve">Library/Museum (non-profit) SP SP SP SP Y Y Y Y Y Y Y SP SP SP SP SP SP N Y Y N</w:t>
      </w:r>
    </w:p>
    <w:p>
      <w:pPr>
        <w:pStyle w:val="ListParagraph"/>
        <w:numPr>
          <w:ilvl w:val="1"/>
          <w:numId w:val="1"/>
        </w:numPr>
      </w:pPr>
      <w:r>
        <w:t xml:space="preserve">8.</w:t>
      </w:r>
      <w:r>
        <w:tab/>
      </w:r>
      <w:r>
        <w:t xml:space="preserve">Library/Museum (profit) N N N N Y Y Y Y Y Y Y SP SP SP SP SP SP N N N N</w:t>
      </w:r>
    </w:p>
    <w:p>
      <w:pPr>
        <w:pStyle w:val="ListParagraph"/>
        <w:numPr>
          <w:ilvl w:val="1"/>
          <w:numId w:val="1"/>
        </w:numPr>
      </w:pPr>
      <w:r>
        <w:t xml:space="preserve">9.</w:t>
      </w:r>
      <w:r>
        <w:tab/>
      </w:r>
      <w:r>
        <w:t xml:space="preserve">Licensed hospital, Sanitarium N N N N Y Y Y Y Y Y Y N N N N N N N Y Y N</w:t>
      </w:r>
    </w:p>
    <w:p>
      <w:pPr>
        <w:pStyle w:val="ListParagraph"/>
        <w:numPr>
          <w:ilvl w:val="1"/>
          <w:numId w:val="1"/>
        </w:numPr>
      </w:pPr>
      <w:r>
        <w:t xml:space="preserve">10.</w:t>
      </w:r>
      <w:r>
        <w:tab/>
      </w:r>
      <w:r>
        <w:t xml:space="preserve">Non-accessory residential parking SP SP SP SP SP SP Y Y Y Y Y Y Y Y Y Y Y Y Y Y N</w:t>
      </w:r>
    </w:p>
    <w:p>
      <w:pPr>
        <w:pStyle w:val="ListParagraph"/>
        <w:numPr>
          <w:ilvl w:val="1"/>
          <w:numId w:val="1"/>
        </w:numPr>
      </w:pPr>
      <w:r>
        <w:t xml:space="preserve">11.</w:t>
      </w:r>
      <w:r>
        <w:tab/>
      </w:r>
      <w:r>
        <w:t xml:space="preserve">Non-residential parking facility N N N N SP SP Y Y Y Y Y Y Y Y Y Y Y Y Y Y Y (non-accessory)</w:t>
      </w:r>
    </w:p>
    <w:p>
      <w:pPr>
        <w:pStyle w:val="ListParagraph"/>
        <w:numPr>
          <w:ilvl w:val="1"/>
          <w:numId w:val="1"/>
        </w:numPr>
      </w:pPr>
      <w:r>
        <w:t xml:space="preserve">12.</w:t>
      </w:r>
      <w:r>
        <w:tab/>
      </w:r>
      <w:r>
        <w:t xml:space="preserve">Nursing or convalescent N SP SP SP Y Y Y Y Y Y Y N N N N N N N N Y N home/institution/facility</w:t>
      </w:r>
    </w:p>
    <w:p>
      <w:pPr>
        <w:pStyle w:val="ListParagraph"/>
        <w:numPr>
          <w:ilvl w:val="1"/>
          <w:numId w:val="1"/>
        </w:numPr>
      </w:pPr>
      <w:r>
        <w:t xml:space="preserve">13.</w:t>
      </w:r>
      <w:r>
        <w:tab/>
      </w:r>
      <w:r>
        <w:t xml:space="preserve">Open lot storage of more than one</w:t>
      </w:r>
    </w:p>
    <w:p>
      <w:pPr>
        <w:pStyle w:val="ListParagraph"/>
        <w:numPr>
          <w:ilvl w:val="1"/>
          <w:numId w:val="1"/>
        </w:numPr>
      </w:pPr>
      <w:r>
        <w:t xml:space="preserve">(1)</w:t>
      </w:r>
      <w:r>
        <w:tab/>
      </w:r>
      <w:r>
        <w:t xml:space="preserve">unregistered automobile in excess N N N N N N SP SP SP SP N SP SP SP SP SP SP N N N N of (7) seven days</w:t>
      </w:r>
    </w:p>
    <w:p>
      <w:pPr>
        <w:pStyle w:val="ListParagraph"/>
        <w:numPr>
          <w:ilvl w:val="1"/>
          <w:numId w:val="1"/>
        </w:numPr>
      </w:pPr>
      <w:r>
        <w:t xml:space="preserve">14.</w:t>
      </w:r>
      <w:r>
        <w:tab/>
      </w:r>
      <w:r>
        <w:t xml:space="preserve">Personal Wireless Service Facilities Interior-Mounted and Side- Y Y Y Y Y Y Y Y Y Y Y Y Y Y Y Y Y Y Y Y Y Mounted</w:t>
      </w:r>
    </w:p>
    <w:p>
      <w:pPr>
        <w:pStyle w:val="ListParagraph"/>
        <w:numPr>
          <w:ilvl w:val="1"/>
          <w:numId w:val="1"/>
        </w:numPr>
      </w:pPr>
      <w:r>
        <w:t xml:space="preserve">15.</w:t>
      </w:r>
      <w:r>
        <w:tab/>
      </w:r>
      <w:r>
        <w:t xml:space="preserve">Personal Wireless Service Facilities Roof-Mounted, Ground- N N N N N SP SP SP SP SP SP SP SP SP SP SP SP SP SP SP SP Mounted, and Structure-Mounted Y – Yes; N – No; SP – Special Permit PERMITTED USES BY ZONING DISTRICTS – Table 4.1 GENERAL USE - Continued RS RS RL RG BO BO BL BG BG BG BG ML ML ML MG MG MG IP IN IN A 10 7 7 5 1 2 1 2 3 4 6 0.5 1 2 0.5 1 2 0.33 S H 1</w:t>
      </w:r>
    </w:p>
    <w:p>
      <w:pPr>
        <w:pStyle w:val="ListParagraph"/>
        <w:numPr>
          <w:ilvl w:val="1"/>
          <w:numId w:val="1"/>
        </w:numPr>
      </w:pPr>
      <w:r>
        <w:t xml:space="preserve">16.</w:t>
      </w:r>
      <w:r>
        <w:tab/>
      </w:r>
      <w:r>
        <w:t xml:space="preserve">Place of worship Y Y Y Y Y Y Y Y Y Y Y Y Y Y Y Y Y Y Y Y Y</w:t>
      </w:r>
    </w:p>
    <w:p>
      <w:pPr>
        <w:pStyle w:val="ListParagraph"/>
        <w:numPr>
          <w:ilvl w:val="1"/>
          <w:numId w:val="1"/>
        </w:numPr>
      </w:pPr>
      <w:r>
        <w:t xml:space="preserve">17.</w:t>
      </w:r>
      <w:r>
        <w:tab/>
      </w:r>
      <w:r>
        <w:t xml:space="preserve">Radio/TV Transmission Tower N N N N SP SP SP SP SP SP SP Y Y Y Y Y Y N N N N</w:t>
      </w:r>
    </w:p>
    <w:p>
      <w:pPr>
        <w:pStyle w:val="ListParagraph"/>
        <w:numPr>
          <w:ilvl w:val="1"/>
          <w:numId w:val="1"/>
        </w:numPr>
      </w:pPr>
      <w:r>
        <w:t xml:space="preserve">18.</w:t>
      </w:r>
      <w:r>
        <w:tab/>
      </w:r>
      <w:r>
        <w:t xml:space="preserve">Recreational/service facility (non- SP SP SP SP Y Y Y Y Y Y Y SP SP SP SP SP SP N Y Y N profit)</w:t>
      </w:r>
    </w:p>
    <w:p>
      <w:pPr>
        <w:pStyle w:val="ListParagraph"/>
        <w:numPr>
          <w:ilvl w:val="1"/>
          <w:numId w:val="1"/>
        </w:numPr>
      </w:pPr>
      <w:r>
        <w:t xml:space="preserve">19.</w:t>
      </w:r>
      <w:r>
        <w:tab/>
      </w:r>
      <w:r>
        <w:t xml:space="preserve">Religious or educational use (EXEMPT)(See Art. XVII; Y Y Y Y Y Y Y Y Y Y Y Y Y Y Y Y Y Y Y Y Y </w:t>
      </w:r>
      <w:r>
        <w:t xml:space="preserve">M.G.L.c.40A</w:t>
      </w:r>
      <w:r>
        <w:t xml:space="preserve">, s.3)</w:t>
      </w:r>
    </w:p>
    <w:p>
      <w:pPr>
        <w:pStyle w:val="ListParagraph"/>
        <w:numPr>
          <w:ilvl w:val="1"/>
          <w:numId w:val="1"/>
        </w:numPr>
      </w:pPr>
      <w:r>
        <w:t xml:space="preserve">20.</w:t>
      </w:r>
      <w:r>
        <w:tab/>
      </w:r>
      <w:r>
        <w:t xml:space="preserve">Schools (K-12, college, University, Y Y Y Y Y Y Y Y Y Y Y Y Y Y Y Y Y Y Y Y Y technical institute) non-profit</w:t>
      </w:r>
    </w:p>
    <w:p>
      <w:pPr>
        <w:pStyle w:val="ListParagraph"/>
        <w:numPr>
          <w:ilvl w:val="1"/>
          <w:numId w:val="1"/>
        </w:numPr>
      </w:pPr>
      <w:r>
        <w:t xml:space="preserve">21.</w:t>
      </w:r>
      <w:r>
        <w:tab/>
      </w:r>
      <w:r>
        <w:t xml:space="preserve">Schools (vocational, professional, N N N N SP SP SP Y Y Y Y Y Y Y Y Y Y Y Y Y SP other) profit</w:t>
      </w:r>
    </w:p>
    <w:p>
      <w:pPr>
        <w:pStyle w:val="ListParagraph"/>
        <w:numPr>
          <w:ilvl w:val="1"/>
          <w:numId w:val="1"/>
        </w:numPr>
      </w:pPr>
      <w:r>
        <w:t xml:space="preserve">22.</w:t>
      </w:r>
      <w:r>
        <w:tab/>
      </w:r>
      <w:r>
        <w:t xml:space="preserve">Shooting Ranges – Indoor/Outdoor N N N N N N N N N N N N N N N N SP N N N N (see note 11)</w:t>
      </w:r>
    </w:p>
    <w:p>
      <w:pPr>
        <w:pStyle w:val="ListParagraph"/>
        <w:numPr>
          <w:ilvl w:val="1"/>
          <w:numId w:val="1"/>
        </w:numPr>
      </w:pPr>
      <w:r>
        <w:t xml:space="preserve">23.</w:t>
      </w:r>
      <w:r>
        <w:tab/>
      </w:r>
      <w:r>
        <w:t xml:space="preserve">Teen/Youth Center N N N N SP SP SP SP SP SP SP SP SP SP SP SP SP N N N N</w:t>
      </w:r>
    </w:p>
    <w:p>
      <w:pPr>
        <w:pStyle w:val="ListParagraph"/>
        <w:numPr>
          <w:ilvl w:val="1"/>
          <w:numId w:val="1"/>
        </w:numPr>
      </w:pPr>
      <w:r>
        <w:t xml:space="preserve">24.</w:t>
      </w:r>
      <w:r>
        <w:tab/>
      </w:r>
      <w:r>
        <w:t xml:space="preserve">Transformer, pumping station, sub- SP SP SP SP Y Y Y Y Y Y Y Y Y Y Y Y Y Y Y Y Y station, telephone exchange</w:t>
      </w:r>
    </w:p>
    <w:p>
      <w:pPr>
        <w:pStyle w:val="ListParagraph"/>
        <w:numPr>
          <w:ilvl w:val="1"/>
          <w:numId w:val="1"/>
        </w:numPr>
      </w:pPr>
      <w:r>
        <w:t xml:space="preserve">25.</w:t>
      </w:r>
      <w:r>
        <w:tab/>
      </w:r>
      <w:r>
        <w:t xml:space="preserve">Wind Energy Conversion Facilities, SP SP SP SP SP SP SP SP SP SP SP SP SP SP SP SP SP SP SP SP SP Large</w:t>
      </w:r>
    </w:p>
    <w:p>
      <w:pPr>
        <w:pStyle w:val="ListParagraph"/>
        <w:numPr>
          <w:ilvl w:val="1"/>
          <w:numId w:val="1"/>
        </w:numPr>
      </w:pPr>
      <w:r>
        <w:t xml:space="preserve">26.</w:t>
      </w:r>
      <w:r>
        <w:tab/>
      </w:r>
      <w:r>
        <w:t xml:space="preserve">Wind Energy Conversion Facilities, SP SP SP SP SP SP SP Y Y Y Y Y Y Y Y Y Y Y Y Y SP Small</w:t>
      </w:r>
    </w:p>
    <w:p>
      <w:pPr>
        <w:pStyle w:val="ListParagraph"/>
        <w:numPr>
          <w:ilvl w:val="1"/>
          <w:numId w:val="1"/>
        </w:numPr>
      </w:pPr>
      <w:r>
        <w:t xml:space="preserve">27.</w:t>
      </w:r>
      <w:r>
        <w:tab/>
      </w:r>
      <w:r>
        <w:t xml:space="preserve">Meteorological Tower (MET) – SP SP SP SP SP SP SP Y Y Y Y Y Y Y Y Y Y Y Y Y SP 85’ or less in height</w:t>
      </w:r>
    </w:p>
    <w:p>
      <w:pPr>
        <w:pStyle w:val="ListParagraph"/>
        <w:numPr>
          <w:ilvl w:val="1"/>
          <w:numId w:val="1"/>
        </w:numPr>
      </w:pPr>
      <w:r>
        <w:t xml:space="preserve">28.</w:t>
      </w:r>
      <w:r>
        <w:tab/>
      </w:r>
      <w:r>
        <w:t xml:space="preserve">Meteorological Tower (MET) – SP SP SP SP SP SP SP SP SP SP SP SP SP SP SP SP SP SP SP SP SP greater than 85’ in height</w:t>
      </w:r>
    </w:p>
    <w:p>
      <w:pPr>
        <w:pStyle w:val="ListParagraph"/>
        <w:numPr>
          <w:ilvl w:val="1"/>
          <w:numId w:val="1"/>
        </w:numPr>
      </w:pPr>
      <w:r>
        <w:t xml:space="preserve">29.</w:t>
      </w:r>
      <w:r>
        <w:tab/>
      </w:r>
      <w:r>
        <w:t xml:space="preserve">Community Garden Y Y Y Y Y Y Y Y Y Y Y Y Y Y Y Y Y Y Y Y Y</w:t>
      </w:r>
    </w:p>
    <w:p>
      <w:pPr>
        <w:pStyle w:val="ListParagraph"/>
        <w:numPr>
          <w:ilvl w:val="1"/>
          <w:numId w:val="1"/>
        </w:numPr>
      </w:pPr>
      <w:r>
        <w:t xml:space="preserve">30.</w:t>
      </w:r>
      <w:r>
        <w:tab/>
      </w:r>
      <w:r>
        <w:t xml:space="preserve">Farmers’ Market N N N N Y Y Y Y Y Y Y Y Y Y Y Y Y Y Y Y Y Y – Yes; N – No SP – Special Permit PERMITTED USES BY ZONING DISTRICTS – Table 4.1 BUSINESS USES RS RS RL RG BO BO BL BG BG BG BG ML ML ML MG MG MG IP IN IN A 10 7 7 5 1 2 1 2 3 4 6 0.5 1 2 0.5 1 2 0.33 S H 1</w:t>
      </w:r>
    </w:p>
    <w:p>
      <w:pPr>
        <w:pStyle w:val="ListParagraph"/>
        <w:numPr>
          <w:ilvl w:val="1"/>
          <w:numId w:val="1"/>
        </w:numPr>
      </w:pPr>
      <w:r>
        <w:t xml:space="preserve">1.</w:t>
      </w:r>
      <w:r>
        <w:tab/>
      </w:r>
      <w:r>
        <w:t xml:space="preserve">Adult entertainment establishments N N N N N N N N N N SP N N N N N N N N N N</w:t>
      </w:r>
    </w:p>
    <w:p>
      <w:pPr>
        <w:pStyle w:val="ListParagraph"/>
        <w:numPr>
          <w:ilvl w:val="1"/>
          <w:numId w:val="1"/>
        </w:numPr>
      </w:pPr>
      <w:r>
        <w:t xml:space="preserve">2.</w:t>
      </w:r>
      <w:r>
        <w:tab/>
      </w:r>
      <w:r>
        <w:t xml:space="preserve">Animal hospital, clinic, pet shop N N N N N N SP Y Y Y Y Y Y Y Y Y Y N N N N</w:t>
      </w:r>
    </w:p>
    <w:p>
      <w:pPr>
        <w:pStyle w:val="ListParagraph"/>
        <w:numPr>
          <w:ilvl w:val="1"/>
          <w:numId w:val="1"/>
        </w:numPr>
      </w:pPr>
      <w:r>
        <w:t xml:space="preserve">3.</w:t>
      </w:r>
      <w:r>
        <w:tab/>
      </w:r>
      <w:r>
        <w:t xml:space="preserve">Bank, credit union N N N N Y Y Y Y Y Y Y Y Y Y Y Y Y Y Y Y SP</w:t>
      </w:r>
    </w:p>
    <w:p>
      <w:pPr>
        <w:pStyle w:val="ListParagraph"/>
        <w:numPr>
          <w:ilvl w:val="1"/>
          <w:numId w:val="1"/>
        </w:numPr>
      </w:pPr>
      <w:r>
        <w:t xml:space="preserve">4.</w:t>
      </w:r>
      <w:r>
        <w:tab/>
      </w:r>
      <w:r>
        <w:t xml:space="preserve">Bank, credit union with drive thru N N N N SP SP SP SP SP SP SP SP SP SP SP SP SP SP SP SP SP</w:t>
      </w:r>
    </w:p>
    <w:p>
      <w:pPr>
        <w:pStyle w:val="ListParagraph"/>
        <w:numPr>
          <w:ilvl w:val="1"/>
          <w:numId w:val="1"/>
        </w:numPr>
      </w:pPr>
      <w:r>
        <w:t xml:space="preserve">5.</w:t>
      </w:r>
      <w:r>
        <w:tab/>
      </w:r>
      <w:r>
        <w:t xml:space="preserve">Bus station or terminal, RR N N N N N N SP Y Y Y Y Y Y Y Y Y Y N N N Y passenger station</w:t>
      </w:r>
    </w:p>
    <w:p>
      <w:pPr>
        <w:pStyle w:val="ListParagraph"/>
        <w:numPr>
          <w:ilvl w:val="1"/>
          <w:numId w:val="1"/>
        </w:numPr>
      </w:pPr>
      <w:r>
        <w:t xml:space="preserve">6.</w:t>
      </w:r>
      <w:r>
        <w:tab/>
      </w:r>
      <w:r>
        <w:t xml:space="preserve">Food service (drive-thru) N N N N N N SP SP SP SP SP SP SP SP SP SP SP N N N N</w:t>
      </w:r>
    </w:p>
    <w:p>
      <w:pPr>
        <w:pStyle w:val="ListParagraph"/>
        <w:numPr>
          <w:ilvl w:val="1"/>
          <w:numId w:val="1"/>
        </w:numPr>
      </w:pPr>
      <w:r>
        <w:t xml:space="preserve">7.</w:t>
      </w:r>
      <w:r>
        <w:tab/>
      </w:r>
      <w:r>
        <w:t xml:space="preserve">Food service (excludes consumption/sale of alcoholic N N N N N N Y Y Y Y Y Y Y Y Y Y Y N SP SP Y beverages)</w:t>
      </w:r>
    </w:p>
    <w:p>
      <w:pPr>
        <w:pStyle w:val="ListParagraph"/>
        <w:numPr>
          <w:ilvl w:val="1"/>
          <w:numId w:val="1"/>
        </w:numPr>
      </w:pPr>
      <w:r>
        <w:t xml:space="preserve">8.</w:t>
      </w:r>
      <w:r>
        <w:tab/>
      </w:r>
      <w:r>
        <w:t xml:space="preserve">Food service (includes consumption/sale of alcoholic N N N N N N SP Y Y Y Y Y Y Y Y Y Y N SP SP Y beverages) and/or providing dancing or entertainment</w:t>
      </w:r>
    </w:p>
    <w:p>
      <w:pPr>
        <w:pStyle w:val="ListParagraph"/>
        <w:numPr>
          <w:ilvl w:val="1"/>
          <w:numId w:val="1"/>
        </w:numPr>
      </w:pPr>
      <w:r>
        <w:t xml:space="preserve">9.</w:t>
      </w:r>
      <w:r>
        <w:tab/>
      </w:r>
      <w:r>
        <w:t xml:space="preserve">Funeral undertaking establishment N N SP SP Y Y Y Y Y Y Y N N N N N N N N N N</w:t>
      </w:r>
    </w:p>
    <w:p>
      <w:pPr>
        <w:pStyle w:val="ListParagraph"/>
        <w:numPr>
          <w:ilvl w:val="1"/>
          <w:numId w:val="1"/>
        </w:numPr>
      </w:pPr>
      <w:r>
        <w:t xml:space="preserve">10.</w:t>
      </w:r>
      <w:r>
        <w:tab/>
      </w:r>
      <w:r>
        <w:t xml:space="preserve">In-door recreation, health club- N N N N N N Y Y Y Y Y Y Y Y Y Y Y N N N N profit</w:t>
      </w:r>
    </w:p>
    <w:p>
      <w:pPr>
        <w:pStyle w:val="ListParagraph"/>
        <w:numPr>
          <w:ilvl w:val="1"/>
          <w:numId w:val="1"/>
        </w:numPr>
      </w:pPr>
      <w:r>
        <w:t xml:space="preserve">11.</w:t>
      </w:r>
      <w:r>
        <w:tab/>
      </w:r>
      <w:r>
        <w:t xml:space="preserve">Indoor rental &amp; service of equipment for home and recreational N N N N N N Y Y Y Y Y Y Y Y Y Y Y N N N N uses</w:t>
      </w:r>
    </w:p>
    <w:p>
      <w:pPr>
        <w:pStyle w:val="ListParagraph"/>
        <w:numPr>
          <w:ilvl w:val="1"/>
          <w:numId w:val="1"/>
        </w:numPr>
      </w:pPr>
      <w:r>
        <w:t xml:space="preserve">12.</w:t>
      </w:r>
      <w:r>
        <w:tab/>
      </w:r>
      <w:r>
        <w:t xml:space="preserve">Kennel N N N N N N SP SP SP SP SP SP SP SP SP SP SP N N N N</w:t>
      </w:r>
    </w:p>
    <w:p>
      <w:pPr>
        <w:pStyle w:val="ListParagraph"/>
        <w:numPr>
          <w:ilvl w:val="1"/>
          <w:numId w:val="1"/>
        </w:numPr>
      </w:pPr>
      <w:r>
        <w:t xml:space="preserve">13.</w:t>
      </w:r>
      <w:r>
        <w:tab/>
      </w:r>
      <w:r>
        <w:t xml:space="preserve">Marina N N N N N N SP N N N N N N N N N N N N N N</w:t>
      </w:r>
    </w:p>
    <w:p>
      <w:pPr>
        <w:pStyle w:val="ListParagraph"/>
        <w:numPr>
          <w:ilvl w:val="1"/>
          <w:numId w:val="1"/>
        </w:numPr>
      </w:pPr>
      <w:r>
        <w:t xml:space="preserve">14.</w:t>
      </w:r>
      <w:r>
        <w:tab/>
      </w:r>
      <w:r>
        <w:t xml:space="preserve">Motel, hotel, inn N N N N N N SP Y Y Y Y Y Y Y Y Y Y N Y Y Y Y – Yes; N – No; SP – Special Permit PERMITTED USES BY ZONING DISTRICTS – Table 4.1 BUSINESS USES - Continued RS RS RL RG BO BO BL BG BG BG BG ML ML ML MG MG MG IP IN IN A 10 7 7 5 1 2 1 2 3 4 6 0.5 1 2 0.5 1 2 0.33 S H 1</w:t>
      </w:r>
    </w:p>
    <w:p>
      <w:pPr>
        <w:pStyle w:val="ListParagraph"/>
        <w:numPr>
          <w:ilvl w:val="1"/>
          <w:numId w:val="1"/>
        </w:numPr>
      </w:pPr>
      <w:r>
        <w:t xml:space="preserve">15.</w:t>
      </w:r>
      <w:r>
        <w:tab/>
      </w:r>
      <w:r>
        <w:t xml:space="preserve">Motor vehicle/trailer/boat sales, N N N N N N SP Y Y Y Y Y Y Y Y Y Y N N N Y rental</w:t>
      </w:r>
    </w:p>
    <w:p>
      <w:pPr>
        <w:pStyle w:val="ListParagraph"/>
        <w:numPr>
          <w:ilvl w:val="1"/>
          <w:numId w:val="1"/>
        </w:numPr>
      </w:pPr>
      <w:r>
        <w:t xml:space="preserve">16.</w:t>
      </w:r>
      <w:r>
        <w:tab/>
      </w:r>
      <w:r>
        <w:t xml:space="preserve">Motor vehicle service, repair, N N N N N N SP Y Y Y SP Y Y Y Y Y Y N N N Y garage, display</w:t>
      </w:r>
    </w:p>
    <w:p>
      <w:pPr>
        <w:pStyle w:val="ListParagraph"/>
        <w:numPr>
          <w:ilvl w:val="1"/>
          <w:numId w:val="1"/>
        </w:numPr>
      </w:pPr>
      <w:r>
        <w:t xml:space="preserve">17.</w:t>
      </w:r>
      <w:r>
        <w:tab/>
      </w:r>
      <w:r>
        <w:t xml:space="preserve">Automobile Refueling Station N N N N N N SP SP SP SP SP SP SP SP SP SP SP N N N SP</w:t>
      </w:r>
    </w:p>
    <w:p>
      <w:pPr>
        <w:pStyle w:val="ListParagraph"/>
        <w:numPr>
          <w:ilvl w:val="1"/>
          <w:numId w:val="1"/>
        </w:numPr>
      </w:pPr>
      <w:r>
        <w:t xml:space="preserve">18.</w:t>
      </w:r>
      <w:r>
        <w:tab/>
      </w:r>
      <w:r>
        <w:t xml:space="preserve">Office, general (travel agency, auto N N N N Y Y Y Y Y Y Y Y Y Y Y Y Y N N N Y driving school)</w:t>
      </w:r>
    </w:p>
    <w:p>
      <w:pPr>
        <w:pStyle w:val="ListParagraph"/>
        <w:numPr>
          <w:ilvl w:val="1"/>
          <w:numId w:val="1"/>
        </w:numPr>
      </w:pPr>
      <w:r>
        <w:t xml:space="preserve">19.</w:t>
      </w:r>
      <w:r>
        <w:tab/>
      </w:r>
      <w:r>
        <w:t xml:space="preserve">Office, professional N N N SP Y Y Y Y Y Y Y Y Y Y Y Y Y N N Y N</w:t>
      </w:r>
    </w:p>
    <w:p>
      <w:pPr>
        <w:pStyle w:val="ListParagraph"/>
        <w:numPr>
          <w:ilvl w:val="1"/>
          <w:numId w:val="1"/>
        </w:numPr>
      </w:pPr>
      <w:r>
        <w:t xml:space="preserve">20.</w:t>
      </w:r>
      <w:r>
        <w:tab/>
      </w:r>
      <w:r>
        <w:t xml:space="preserve">Outdoor recreation (for Profit) N N N N N N N SP SP SP SP SP SP SP SP SP SP N N N N</w:t>
      </w:r>
    </w:p>
    <w:p>
      <w:pPr>
        <w:pStyle w:val="ListParagraph"/>
        <w:numPr>
          <w:ilvl w:val="1"/>
          <w:numId w:val="1"/>
        </w:numPr>
      </w:pPr>
      <w:r>
        <w:t xml:space="preserve">21.</w:t>
      </w:r>
      <w:r>
        <w:tab/>
      </w:r>
      <w:r>
        <w:t xml:space="preserve">Package store (alcoholic beverage N N N N N N Y Y Y Y Y Y Y Y Y Y Y N N N N sale not to be consumed on premise)</w:t>
      </w:r>
    </w:p>
    <w:p>
      <w:pPr>
        <w:pStyle w:val="ListParagraph"/>
        <w:numPr>
          <w:ilvl w:val="1"/>
          <w:numId w:val="1"/>
        </w:numPr>
      </w:pPr>
      <w:r>
        <w:t xml:space="preserve">22.</w:t>
      </w:r>
      <w:r>
        <w:tab/>
      </w:r>
      <w:r>
        <w:t xml:space="preserve">Radio/TV studio N N N N Y Y Y Y Y Y Y Y Y Y Y Y Y Y Y N N</w:t>
      </w:r>
    </w:p>
    <w:p>
      <w:pPr>
        <w:pStyle w:val="ListParagraph"/>
        <w:numPr>
          <w:ilvl w:val="1"/>
          <w:numId w:val="1"/>
        </w:numPr>
      </w:pPr>
      <w:r>
        <w:t xml:space="preserve">23.</w:t>
      </w:r>
      <w:r>
        <w:tab/>
      </w:r>
      <w:r>
        <w:t xml:space="preserve">Research lab. w/o manufacturing N N N N Y Y Y Y Y Y Y Y Y Y Y Y Y Y Y Y Y abilities</w:t>
      </w:r>
    </w:p>
    <w:p>
      <w:pPr>
        <w:pStyle w:val="ListParagraph"/>
        <w:numPr>
          <w:ilvl w:val="1"/>
          <w:numId w:val="1"/>
        </w:numPr>
      </w:pPr>
      <w:r>
        <w:t xml:space="preserve">24.</w:t>
      </w:r>
      <w:r>
        <w:tab/>
      </w:r>
      <w:r>
        <w:t xml:space="preserve">Retail Food Sales N N N N N N Y Y Y Y Y Y Y Y Y Y Y N SP SP Y</w:t>
      </w:r>
    </w:p>
    <w:p>
      <w:pPr>
        <w:pStyle w:val="ListParagraph"/>
        <w:numPr>
          <w:ilvl w:val="1"/>
          <w:numId w:val="1"/>
        </w:numPr>
      </w:pPr>
      <w:r>
        <w:t xml:space="preserve">25.</w:t>
      </w:r>
      <w:r>
        <w:tab/>
      </w:r>
      <w:r>
        <w:t xml:space="preserve">Retail greater than 50% display N N N N N N SP SP SP SP SP SP SP SP SP SP SP N N N N space outdoors</w:t>
      </w:r>
    </w:p>
    <w:p>
      <w:pPr>
        <w:pStyle w:val="ListParagraph"/>
        <w:numPr>
          <w:ilvl w:val="1"/>
          <w:numId w:val="1"/>
        </w:numPr>
      </w:pPr>
      <w:r>
        <w:t xml:space="preserve">26.</w:t>
      </w:r>
      <w:r>
        <w:tab/>
      </w:r>
      <w:r>
        <w:t xml:space="preserve">Retail sales, including retail with N N N N N N Y Y Y Y Y SP SP SP SP SP SP N SP SP Y incidental fabrication assembly</w:t>
      </w:r>
    </w:p>
    <w:p>
      <w:pPr>
        <w:pStyle w:val="ListParagraph"/>
        <w:numPr>
          <w:ilvl w:val="1"/>
          <w:numId w:val="1"/>
        </w:numPr>
      </w:pPr>
      <w:r>
        <w:t xml:space="preserve">27.</w:t>
      </w:r>
      <w:r>
        <w:tab/>
      </w:r>
      <w:r>
        <w:t xml:space="preserve">Service shop, personal services N N SP SP SP SP Y Y Y Y Y SP SP SP SP SP SP N SP SP Y</w:t>
      </w:r>
    </w:p>
    <w:p>
      <w:pPr>
        <w:pStyle w:val="ListParagraph"/>
        <w:numPr>
          <w:ilvl w:val="1"/>
          <w:numId w:val="1"/>
        </w:numPr>
      </w:pPr>
      <w:r>
        <w:t xml:space="preserve">28.</w:t>
      </w:r>
      <w:r>
        <w:tab/>
      </w:r>
      <w:r>
        <w:t xml:space="preserve">Theatre, motion picture theatre, N N N N N N SP Y Y Y Y Y Y Y Y Y Y N Y N N concert hall</w:t>
      </w:r>
    </w:p>
    <w:p>
      <w:pPr>
        <w:pStyle w:val="ListParagraph"/>
        <w:numPr>
          <w:ilvl w:val="1"/>
          <w:numId w:val="1"/>
        </w:numPr>
      </w:pPr>
      <w:r>
        <w:t xml:space="preserve">29.</w:t>
      </w:r>
      <w:r>
        <w:tab/>
      </w:r>
      <w:r>
        <w:t xml:space="preserve">Wholesale business or storage conducted entirely within an enclosed structure, excluding self-storage (with N N N N N N N N Y Y Y Y Y Y Y Y Y Y N N Y noise, dust, fumes, gases and odors confined to the premises). Y – Yes; N – No; SP – Special Permit PERMITTED USES BY ZONING DISTRICTS – Table 4.1 BUSINESS USES - Continued RS RS RL RG BO BO BL BG BG BG BG ML ML ML MG MG MG IP IN IN A 10 7 7 5 1 2 1 2 3 4 6 0.5 1 2 0.5 1 2 0.33 S H 1</w:t>
      </w:r>
    </w:p>
    <w:p>
      <w:pPr>
        <w:pStyle w:val="ListParagraph"/>
        <w:numPr>
          <w:ilvl w:val="1"/>
          <w:numId w:val="1"/>
        </w:numPr>
      </w:pPr>
      <w:r>
        <w:t xml:space="preserve">30.</w:t>
      </w:r>
      <w:r>
        <w:tab/>
      </w:r>
      <w:r>
        <w:t xml:space="preserve">Registered Marijuana Dispensary</w:t>
      </w:r>
    </w:p>
    <w:p>
      <w:pPr>
        <w:ind w:left="1075"/>
      </w:pPr>
      <w:r>
        <w:t xml:space="preserve">(provided, not within 300 feet of a residential district n BG and MG N N N N N N N Y Y Y Y Y Y Y Y Y Y N N Y N districts. See Notes to Table 4.1, Note 13) 31, Registered Marijuana Dispensary without cultivation and within 300 feet N N N N N N N SP SP SP SP Y Y Y SP SP SP N N Y Y of a residential district (See, Notes to Table 4.1, Note 13)</w:t>
      </w:r>
    </w:p>
    <w:p>
      <w:pPr>
        <w:pStyle w:val="ListParagraph"/>
        <w:numPr>
          <w:ilvl w:val="1"/>
          <w:numId w:val="1"/>
        </w:numPr>
      </w:pPr>
      <w:r>
        <w:t xml:space="preserve">32.</w:t>
      </w:r>
      <w:r>
        <w:tab/>
      </w:r>
      <w:r>
        <w:t xml:space="preserve">Marijuana Cultivator N N N N N N N N N N N SP SP SP SP SP SP N N N SP</w:t>
      </w:r>
    </w:p>
    <w:p>
      <w:pPr>
        <w:pStyle w:val="ListParagraph"/>
        <w:numPr>
          <w:ilvl w:val="1"/>
          <w:numId w:val="1"/>
        </w:numPr>
      </w:pPr>
      <w:r>
        <w:t xml:space="preserve">33.</w:t>
      </w:r>
      <w:r>
        <w:tab/>
      </w:r>
      <w:r>
        <w:t xml:space="preserve">Marijuana Independent Testing N N N N N N SP SP SP SP SP SP SP SP SP SP SP N N SP SP Laboratory/Marijuana Research Facility</w:t>
      </w:r>
    </w:p>
    <w:p>
      <w:pPr>
        <w:pStyle w:val="ListParagraph"/>
        <w:numPr>
          <w:ilvl w:val="1"/>
          <w:numId w:val="1"/>
        </w:numPr>
      </w:pPr>
      <w:r>
        <w:t xml:space="preserve">34.</w:t>
      </w:r>
      <w:r>
        <w:tab/>
      </w:r>
      <w:r>
        <w:t xml:space="preserve">Marijuana Product Manufacturer N N N N N N N SP SP SP SP SP SP SP SP SP SP N N N SP</w:t>
      </w:r>
    </w:p>
    <w:p>
      <w:pPr>
        <w:pStyle w:val="ListParagraph"/>
        <w:numPr>
          <w:ilvl w:val="1"/>
          <w:numId w:val="1"/>
        </w:numPr>
      </w:pPr>
      <w:r>
        <w:t xml:space="preserve">35.</w:t>
      </w:r>
      <w:r>
        <w:tab/>
      </w:r>
      <w:r>
        <w:t xml:space="preserve">Marijuana Storefront Retailer N N N N N N SP SP SP SP SP SP SP SP SP SP SP N N N N</w:t>
      </w:r>
    </w:p>
    <w:p>
      <w:pPr>
        <w:pStyle w:val="ListParagraph"/>
        <w:numPr>
          <w:ilvl w:val="1"/>
          <w:numId w:val="1"/>
        </w:numPr>
      </w:pPr>
      <w:r>
        <w:t xml:space="preserve">36.</w:t>
      </w:r>
      <w:r>
        <w:tab/>
      </w:r>
      <w:r>
        <w:t xml:space="preserve">Marijuana Transporter N N N N N N N N N N N SP SP SP SP SP SP N N N N</w:t>
      </w:r>
    </w:p>
    <w:p>
      <w:pPr>
        <w:pStyle w:val="ListParagraph"/>
        <w:numPr>
          <w:ilvl w:val="1"/>
          <w:numId w:val="1"/>
        </w:numPr>
      </w:pPr>
      <w:r>
        <w:t xml:space="preserve">37.</w:t>
      </w:r>
      <w:r>
        <w:tab/>
      </w:r>
      <w:r>
        <w:t xml:space="preserve">Micro-Business N N N N N N N SP SP SP SP SP SP SP SP SP SP N N N SP</w:t>
      </w:r>
    </w:p>
    <w:p>
      <w:pPr>
        <w:pStyle w:val="ListParagraph"/>
        <w:numPr>
          <w:ilvl w:val="1"/>
          <w:numId w:val="1"/>
        </w:numPr>
      </w:pPr>
      <w:r>
        <w:t xml:space="preserve">38.</w:t>
      </w:r>
      <w:r>
        <w:tab/>
      </w:r>
      <w:r>
        <w:t xml:space="preserve">Marijuana Courier N N N N N N SP SP SP SP SP SP SP SP SP SP SP N N N SP</w:t>
      </w:r>
    </w:p>
    <w:p>
      <w:pPr>
        <w:pStyle w:val="ListParagraph"/>
        <w:numPr>
          <w:ilvl w:val="1"/>
          <w:numId w:val="1"/>
        </w:numPr>
      </w:pPr>
      <w:r>
        <w:t xml:space="preserve">39.</w:t>
      </w:r>
      <w:r>
        <w:tab/>
      </w:r>
      <w:r>
        <w:t xml:space="preserve">Marijuana Delivery Operator N N N N N N N N N N N SP SP SP SP SP SP N N N SP</w:t>
      </w:r>
    </w:p>
    <w:p>
      <w:pPr>
        <w:pStyle w:val="ListParagraph"/>
        <w:numPr>
          <w:ilvl w:val="1"/>
          <w:numId w:val="1"/>
        </w:numPr>
      </w:pPr>
      <w:r>
        <w:t xml:space="preserve">40.</w:t>
      </w:r>
      <w:r>
        <w:tab/>
      </w:r>
      <w:r>
        <w:t xml:space="preserve">Club, lodge, other private grounds (non-profit and private) allowing on- N N N N N N SP SP SP SP SP SP SP SP SP SP SP N N N N site consumption of marijuana or marijuana products</w:t>
      </w:r>
    </w:p>
    <w:p>
      <w:pPr>
        <w:pStyle w:val="ListParagraph"/>
        <w:numPr>
          <w:ilvl w:val="1"/>
          <w:numId w:val="1"/>
        </w:numPr>
      </w:pPr>
      <w:r>
        <w:t xml:space="preserve">41.</w:t>
      </w:r>
      <w:r>
        <w:tab/>
      </w:r>
      <w:r>
        <w:t xml:space="preserve">Self-Storage N N N N N N N SP SP SP SP SP SP SP N N N N N N N Y – Yes; N – No; SP – Special Permit PERMITTED USES BY ZONING DISTRICTS – Table 4.1 MANUFACTURING USE RS RS RL RG BO BO BL BG BG BG BG ML ML ML MG MG MG IP IN IN A 10 7 7 5 1 2 1 2 3 4 6 0.5 1 2 0.5 1 2 0.33 S H 1</w:t>
      </w:r>
    </w:p>
    <w:p>
      <w:pPr>
        <w:pStyle w:val="ListParagraph"/>
        <w:numPr>
          <w:ilvl w:val="1"/>
          <w:numId w:val="1"/>
        </w:numPr>
      </w:pPr>
      <w:r>
        <w:t xml:space="preserve">1.</w:t>
      </w:r>
      <w:r>
        <w:tab/>
      </w:r>
      <w:r>
        <w:t xml:space="preserve">Accessory storage of flammable liquids/gases/ explosives (excluding SP SP SP SP SP SP SP SP SP SP SP SP SP SP SP SP SP SP SP SP SP residential use up to 1,000 gallons)</w:t>
      </w:r>
    </w:p>
    <w:p>
      <w:pPr>
        <w:pStyle w:val="ListParagraph"/>
        <w:numPr>
          <w:ilvl w:val="1"/>
          <w:numId w:val="1"/>
        </w:numPr>
      </w:pPr>
      <w:r>
        <w:t xml:space="preserve">2.</w:t>
      </w:r>
      <w:r>
        <w:tab/>
      </w:r>
      <w:r>
        <w:t xml:space="preserve">Auction house N N N N N N SP SP SP SP SP SP SP SP SP SP SP N N N N</w:t>
      </w:r>
    </w:p>
    <w:p>
      <w:pPr>
        <w:pStyle w:val="ListParagraph"/>
        <w:numPr>
          <w:ilvl w:val="1"/>
          <w:numId w:val="1"/>
        </w:numPr>
      </w:pPr>
      <w:r>
        <w:t xml:space="preserve">3.</w:t>
      </w:r>
      <w:r>
        <w:tab/>
      </w:r>
      <w:r>
        <w:t xml:space="preserve">Auto/truck body or paint shop N N N N N N N N N N N Y Y Y Y Y Y N N N N</w:t>
      </w:r>
    </w:p>
    <w:p>
      <w:pPr>
        <w:pStyle w:val="ListParagraph"/>
        <w:numPr>
          <w:ilvl w:val="1"/>
          <w:numId w:val="1"/>
        </w:numPr>
      </w:pPr>
      <w:r>
        <w:t xml:space="preserve">4.</w:t>
      </w:r>
      <w:r>
        <w:tab/>
      </w:r>
      <w:r>
        <w:t xml:space="preserve">Flea Market N N N N N N N N N N SP SP SP SP SP SP SP N N N N</w:t>
      </w:r>
    </w:p>
    <w:p>
      <w:pPr>
        <w:pStyle w:val="ListParagraph"/>
        <w:numPr>
          <w:ilvl w:val="1"/>
          <w:numId w:val="1"/>
        </w:numPr>
      </w:pPr>
      <w:r>
        <w:t xml:space="preserve">5.</w:t>
      </w:r>
      <w:r>
        <w:tab/>
      </w:r>
      <w:r>
        <w:t xml:space="preserve">Manufacturing, assembly, processing, packaging, research and other industrial operations, including alternative and/or renewable energy systems, provided N N N N N N SP Y Y Y Y Y Y Y Y Y Y Y N N Y standards in Notes to Table 4.1, Note (7) are met. (See, Notes to Table 4.1, Note (12))</w:t>
      </w:r>
    </w:p>
    <w:p>
      <w:pPr>
        <w:pStyle w:val="ListParagraph"/>
        <w:numPr>
          <w:ilvl w:val="1"/>
          <w:numId w:val="1"/>
        </w:numPr>
      </w:pPr>
      <w:r>
        <w:t xml:space="preserve">6.</w:t>
      </w:r>
      <w:r>
        <w:tab/>
      </w:r>
      <w:r>
        <w:t xml:space="preserve">Manufacturing, assembly, processing, packaging or other industrial operations not otherwise permitted above, including alternative and/or renewable energy systems (See, Notes to Table 4.1, Note N N N N N N N N N N N SP SP SP SP SP SP SP N N N (12)), provided there will not be a nuisance of such magnitude as to prevent a reasonable use of nearby premises for the purpose for which they are zoned</w:t>
      </w:r>
    </w:p>
    <w:p>
      <w:pPr>
        <w:pStyle w:val="ListParagraph"/>
        <w:numPr>
          <w:ilvl w:val="1"/>
          <w:numId w:val="1"/>
        </w:numPr>
      </w:pPr>
      <w:r>
        <w:t xml:space="preserve">7.</w:t>
      </w:r>
      <w:r>
        <w:tab/>
      </w:r>
      <w:r>
        <w:t xml:space="preserve">Motor freight terminal; N N N N N N N N N N N SP SP SP Y Y Y N N N SP truck/trailer/bus storage or servicing</w:t>
      </w:r>
    </w:p>
    <w:p>
      <w:pPr>
        <w:pStyle w:val="ListParagraph"/>
        <w:numPr>
          <w:ilvl w:val="1"/>
          <w:numId w:val="1"/>
        </w:numPr>
      </w:pPr>
      <w:r>
        <w:t xml:space="preserve">8.</w:t>
      </w:r>
      <w:r>
        <w:tab/>
      </w:r>
      <w:r>
        <w:t xml:space="preserve">Open lot storage, underground storage, salvage recycling operations, refuse N N N N N N N N N N N SP SP SP SP SP SP N N N SP transfer station facility: includes flammable liquids/gas</w:t>
      </w:r>
    </w:p>
    <w:p>
      <w:pPr>
        <w:pStyle w:val="ListParagraph"/>
        <w:numPr>
          <w:ilvl w:val="1"/>
          <w:numId w:val="1"/>
        </w:numPr>
      </w:pPr>
      <w:r>
        <w:t xml:space="preserve">9.</w:t>
      </w:r>
      <w:r>
        <w:tab/>
      </w:r>
      <w:r>
        <w:t xml:space="preserve">Rail freight terminal &amp; accessory N N N N N N N N N N N Y Y Y Y Y Y N N N N storage place Y – Yes; N – No SP – Special Permit PERMITTED USES BY ZONING DISTRICTS – Table 4.1 MANUFACTURING USE - Continued RS RS RL RG BO BO BL BG BG BG BG ML ML ML MG MG MG IP IN IN A 10 7 7 5 1 2 1 2 3 4 6 0.5 1 2 0.5 1 2 0.33 S H 1</w:t>
      </w:r>
    </w:p>
    <w:p>
      <w:pPr>
        <w:pStyle w:val="ListParagraph"/>
        <w:numPr>
          <w:ilvl w:val="1"/>
          <w:numId w:val="1"/>
        </w:numPr>
      </w:pPr>
      <w:r>
        <w:t xml:space="preserve">10.</w:t>
      </w:r>
      <w:r>
        <w:tab/>
      </w:r>
      <w:r>
        <w:t xml:space="preserve">Rendering works and slaughter house N N N N N N N N N N N N N N N N N N N N N</w:t>
      </w:r>
    </w:p>
    <w:p>
      <w:pPr>
        <w:pStyle w:val="ListParagraph"/>
        <w:numPr>
          <w:ilvl w:val="1"/>
          <w:numId w:val="1"/>
        </w:numPr>
      </w:pPr>
      <w:r>
        <w:t xml:space="preserve">11.</w:t>
      </w:r>
      <w:r>
        <w:tab/>
      </w:r>
      <w:r>
        <w:t xml:space="preserve">Stable N N N N N N N N N N N SP SP SP SP SP SP N N N N</w:t>
      </w:r>
    </w:p>
    <w:p>
      <w:pPr>
        <w:pStyle w:val="ListParagraph"/>
        <w:numPr>
          <w:ilvl w:val="1"/>
          <w:numId w:val="1"/>
        </w:numPr>
      </w:pPr>
      <w:r>
        <w:t xml:space="preserve">12.</w:t>
      </w:r>
      <w:r>
        <w:tab/>
      </w:r>
      <w:r>
        <w:t xml:space="preserve">Steam laundry, dry cleaning, rug N N N N N N SP Y Y Y Y Y Y Y Y Y Y N N N N cleaning establishment or plant</w:t>
      </w:r>
    </w:p>
    <w:p>
      <w:pPr>
        <w:pStyle w:val="ListParagraph"/>
        <w:numPr>
          <w:ilvl w:val="1"/>
          <w:numId w:val="1"/>
        </w:numPr>
      </w:pPr>
      <w:r>
        <w:t xml:space="preserve">13.</w:t>
      </w:r>
      <w:r>
        <w:tab/>
      </w:r>
      <w:r>
        <w:t xml:space="preserve">Storage of materials and equipment not enclosed buildings (excluding N N N N N N N N N N N Y Y Y Y Y Y N N N N flammable liquids, gas and/or explosives)</w:t>
      </w:r>
    </w:p>
    <w:p>
      <w:pPr>
        <w:pStyle w:val="ListParagraph"/>
        <w:numPr>
          <w:ilvl w:val="1"/>
          <w:numId w:val="1"/>
        </w:numPr>
      </w:pPr>
      <w:r>
        <w:t xml:space="preserve">14.</w:t>
      </w:r>
      <w:r>
        <w:tab/>
      </w:r>
      <w:r>
        <w:t xml:space="preserve">Truck sales/agencies/showroom N N N N N N N SP SP SP N Y Y Y Y Y Y N N N N</w:t>
      </w:r>
    </w:p>
    <w:p>
      <w:pPr>
        <w:pStyle w:val="ListParagraph"/>
        <w:numPr>
          <w:ilvl w:val="1"/>
          <w:numId w:val="1"/>
        </w:numPr>
      </w:pPr>
      <w:r>
        <w:t xml:space="preserve">15.</w:t>
      </w:r>
      <w:r>
        <w:tab/>
      </w:r>
      <w:r>
        <w:t xml:space="preserve">Truck servicing and repair garages N N N N N N N N N N N Y Y Y Y Y Y N N N N</w:t>
      </w:r>
    </w:p>
    <w:p>
      <w:pPr>
        <w:pStyle w:val="ListParagraph"/>
        <w:numPr>
          <w:ilvl w:val="1"/>
          <w:numId w:val="1"/>
        </w:numPr>
      </w:pPr>
      <w:r>
        <w:t xml:space="preserve">16.</w:t>
      </w:r>
      <w:r>
        <w:tab/>
      </w:r>
      <w:r>
        <w:t xml:space="preserve">Research and Development Facility with Manufacturing Abilities (See, Notes N N N N N N SP Y Y Y Y Y Y Y Y Y Y Y Y Y Y to Table 4.1, Note (12)) Y – Yes; N – No SP – Special Permit TABLE 4.1 Permitted Uses by Zoning Districts Notes to Table 4.1 Note 1. A machine shop or other noisome activity accessory to a school or education center building, which is located in, or within two hundred (200) feet of a Residential or Business Zoning District, shall confine its noise substantially on-site. Note 2. In Residence or Business Office districts no commercial greenhouse or outdoor storage of fertilizer may be within fifty (50) feet of any lot line. Note 3. Where public garages, auto-body shops or paint shops are allowed, all washing, lubricating and repairs must be carried on inside a building. All outside storage of wrecked vehicles or parts shall be screened from the street and neighborhood. Any structure housing repairs shall be designed to confine noise substantially to the premises; any flashing, fumes, gases, smoke and vapor shall be effectively confined to the premises. Note 4. Where an animal hospital, clinic or shelter, kennel or pet shop is allowed, no outdoor animal runs may be located within two hundred (200) feet of a Residential District. Note 5. Where open lot storage of new building materials, contractor’s equipment, machinery or similar materials is allowed, any material, except equipment or machinery stored in unenclosed premises to a height greater than four (4) feet above grade level, shall be surrounded by a visual barrier. Note 6. Where open lot storage of coal, coke, sand or other solid fuel, or similar material, or storage of such material in a silo or hopper, or open lot storage, handling or bailing of second hand lumber or other used building materials, metals, junk, scrap, paper, rags, un-repaired or un-cleaned containers, or other articles of salvage wrecking or dismantling of motor vehicles, or wholesale storage of flammable liquids or gas is allowed, all dust and dirt incident to storage or handling shall be effectively confined to the premises. All storage of salt must be under waterproof cover and placed upon an impervious surface to prevent leaching. Note 7. In ML, MG, BG and IP districts where manufacturing, assembly, processing, packaging, research or other industrial operations are allowed as a matter of right, all resulting odors, gases and particulate matter must be effectively confined to the premises or so disposed of so as to avoid any air pollution; and that all noise, vibration or flashing should not be perceptible normally without instruments either at a point more than three hundred and fifty (350) feet from the premises at any point within the nearest residential district or more than one hundred fifty (150) feet beyond the nearest residential district boundary, whichever point is nearer to the premises. Note 8. In all districts, permitted uses involving biomedical research must conform to City of Worcester Revised Ordinances of 1996, Chapter 8 – Regulations relative to Biomedical Research in the City of Worcester. This Chapter applies to all institutions which experiment with Recombinant DNA (RDNA) technology. All use of RDNA by institutions in the city of Worcester shall be undertaken only in conformity with current and applicable National Institutes of Health (NIH) of the U.S. Department of Health and Human Services guidelines. Note 9. For licensed group homes under </w:t>
      </w:r>
      <w:r>
        <w:t xml:space="preserve">M.G.L. Chapter 40A</w:t>
      </w:r>
      <w:r>
        <w:t xml:space="preserve">, Section-3, the City must adhere to State mandates relative to their siting and control. Notwithstanding any provisions to the contrary, group homes for mentally and physically disabled persons shall be permitted in all zones in accordance with State law. Note 10. In addition to the special permit review criteria in Article II, a Limited Residential Hospice House shall also conform to the following conditions in order to be eligible for grant of a special permit; a) no more than two (2) persons unrelated by marriage may live in each bedroom within the Limited Residential Hospice House; b) there shall be a maximum of ten (10) bedrooms in the Limited Residential Hospice House; c) no external signs shall be placed on the property, except with the approval of the Board of Appeals; and d) the maximum number of hospice residents in the limited residential hospice house shall not exceed sixteen (16) in number. Note 11. No shooting range or gallery, whether indoor or outdoor, licensed under the provisions of General Laws, Chapter 140, Section-56A and/or Section-131, shall be located within one thousand feet of any exterior property line of the real property comprising a public elementary, vocational or secondary school or within one hundred feet of a public park or playground. Note 12. The permitting process for Research and Development Facilities related to alternative and/or renewable energy industry and for manufacturing of the alternative and/or renewable energy systems will be carried out using a framework of the Massachusetts General Laws, Chapter 43D: Expedited Permitting, except that the permit review and decision period shall be completed within 365 days and shall not require designation as a Priority Development Site. Note 13. No Registered Marijuana Dispensary, with or without cultivation operations shall be sited within a radius of three hundred feet of a public or private, primary or secondary school, licensed daycare center, public library, public park or playground, or another RMD. The 300’ distance under this note shall be measured in a straight line from the nearest point of the facility in question to the nearest point of the proposed RMD. Note 14. Except for the conversion of a Registered Marijuana Dispensary to an Adult Use Marijuana Establishment, no Marijuana Establishment shall be sited within a radius of five hundred feet of a public or private, primary or secondary school, licensed daycare center, public library, public park or playground, nor for a Marijuana Storefront Retailer sited with a radius of five hundred feet of another Marijuana Storefront Retailer. The 500 foot distance under this note shall be measured in a straight line from the nearest point of the facility in question to the nearest point of the proposed Marijuana Establishment. Note 15. A Club, lodge, other private grounds (non-profit and private) allowing on-site consumption of marijuana or marijuana products shall obtain a special permit and conform to the special permit requirements set forth in Article IV, Section 15 relative to Adult Use Marijuana. Note 16. A Marijuana Product Manufacturer or a Micro-Business located in a Business zoning district is limited in size to no more than 5,000 square feet, excluding parking areas. Note 17. In addition to the special permit review criteria in Article II, the SPGA shall approve a new or expanded self-storage facility only upon additionally finding that (1) demand for self-storage exists both locally in proximity to the proposed site as well as overall in the city as demonstrated by a current market assessment; (2) that conditions make the site poorly suited for other permitted uses; (3) that adequate access can be provided without adversely affecting neighboring uses or the public realm, and (4) that structures with architectural or historical integrity will be appropriately preserved or improved, and that no such structures have been demolished within the past five (5) years to prepare the site for redevelopment. Note 18. Use allowances and restrictions specified by any overlay district, including but not limited to the Commercial Corridor Overlay District, Adaptive Reuse Overlay District, and Water Protection Overlay District, shall take precedence over the designations in Table 4.1, as applicable.</w:t>
      </w:r>
    </w:p>
    <w:p>
      <w:pPr>
        <w:pStyle w:val="Heading3"/>
      </w:pPr>
      <w:r>
        <w:t xml:space="preserve">§ 3. Regulatory Provisions for Air Pollution</w:t>
      </w:r>
    </w:p>
    <w:p>
      <w:r>
        <w:t xml:space="preserve">No person shall construct, substantially reconstruct or alter any facility that may cause or increase a condition of air pollution without the approval of the Massachusetts Department of Environmental Protection. (See M.G.L. Ch. 111)</w:t>
      </w:r>
    </w:p>
    <w:p>
      <w:pPr>
        <w:pStyle w:val="Heading3"/>
      </w:pPr>
      <w:r>
        <w:t xml:space="preserve">§ 4. Dimensional Controls</w:t>
      </w:r>
    </w:p>
    <w:p>
      <w:r>
        <w:t xml:space="preserve">The dimensional controls set forth in Table 4.2 shall apply to land uses in each district, except in the case of uses specifically exempted or excepted therefrom by law or by applicable provisions of this Ordinance. TABLE 4. 2 -PERMITTED DIMENSIONS BY DISTRICT LOT YARD SETBACKS HEIGHT FRONT SIDE1 REAR FLOOR TO DISTRICT USE FRONTAGE AREA RATIO AREA (Minimum SF) ( M in e n a im r f u t m .) Minimum depth (linear ft.) M in a s t o m ri u e m s2 Ma n i m ft. u m (Maximum) Single-family detached 10,000 80 25 10 20 NA RS-10 Limited Residential 40,000 80 2+ 35 Hospice House Other permitted 10,000 80 25 20 50 0.3 to 1 Single-family detached 7,000 65 20 8 20 NA Limited Residential RS-7 30,000 65 25 10 20 2+ 35 Hospice House 7,000 65 Other permitted 25 20 50 0.4 to 1 7,000 65 Single-family detached Single-family semi- 4,000 per du 35 per du 2+ 35 RL-7 detached 20 8 20 NA Single-family, attached 3,000 per du 25 per du Two-family dwelling 8,000 70 Three-family dwelling 9,000 75 3+ 50 1Not applicable to that portion of a semi-detached or attached single-family dwelling, where permitted, that shares a party wall or a double wall on or along a common side lot line with an adjacent unit. 2 These designations indicate a height in stories plus an attic, as herein defined. The designation 2+ indicates a maximum of 2 habitable stories with a non-habitable attic and garage underneath, if provided. The story containing the garage is not considered habitable if the garage area occupies 50% or more of the entire story. PERMITTED DIMENSIONS BY DISTRICT TABLE 4.2 - Continued YARD SETBACKS LOT HEIGHT FLOOR TO FRONT SIDE1 REAR DISTRICT USE AREA RATIO AREA FRONTAGE Maximum Maximum (Maximum) (Minimum (Minimum Minimum depth (linear ft.) in stories2 in ft. SF) linear ft.) Multi-family dwelling, low 7,000 65 20 10 20 NA NA rise - first unit NA MFD, additional unit, low plus 5’ per du to RL-7 Cont. rise 2,000 per du total of 140' NA NA NA 3+ 50 Limited Residential 20,000 25 10 20 50 Hospice House NA 65 3+ Other residential permitted 7,000 20 10 20 Other non-residential 7,000 20 20 20 0.5 to 1 Single-family detached 5,000 50 Single-family semi- 3,000 per du 30 per du detached 15 8 15 2+ 35 Single-family, attached 2,200 per du 20 per du RG-5 Two-family dwelling 6,000 55 Three-family dwelling 7,000 60 15 8 8 3+ 50 NA Multi-family dwelling, first 5,000 50 15 10 15 NA NA unit MFD, additional unit, low plus 5’ per du to 1,000 per du 3+ 50 rise total of 125' NA NA NA MFD additional unit, high plus 5’ per du to 750 per du 8+ 90 rise total of 100' 1Not applicable to that portion of a semi-detached or attached single-family dwelling, where permitted, that shares a party wall or a double wall on or along a common side lot line with an adjacent unit. 2 These designations indicate a height in stories plus an attic, as herein defined. The designation 2+ indicates a maximum of 2 habitable stories with a non-habitable attic and garage underneath, if provided. The story containing the garage is not considered habitable if the garage area occupies 50% or more of the entire story. PERMITTED DIMENSIONS BY DISTRICT TABLE 4.2 - Continued YARD SETBACKS LOT HEIGHT FRONT SIDE1 REAR FLOOR TO DISTRICT USE AREA RATIO AREA FRONTAGE Maximum in Maximum in (Maximum) (Minimum (Minimum Minimum depth (linear ft.) stories2 ft. SF) linear ft.) Limited Residential 15,000 50 20 10 50 Hospice House RG-5 Cont. NA Other residential 5,000 50 10 3+ permitted 15 15 45 Other 5,000 50 1 to 1 non-residential BO-1.0 1 to 1 Residential3 . 5,000 40 per du 4 15 10 10 3+ 40 Non-residential NA NA BO-2.0 2 to 1 Residential 3 . 5,000 40 per du 4 BL-1.0 10 10 20 3+ 40 Non-residential NA NA 1 to 1 BG-2.0 15 50 2 to 1 BG-3.0 100 3 to 1 Residential 3 . 5,000 40 per du 4 NA NA NA Non-residential NA NA BG-4.0 10 150 4 to 1 BG-6.0 NA 6 to 1 1Not applicable to that portion of a semi-detached or attached single-family dwelling, where permitted, that shares a party wall or a double wall on or along a common side lot line with an adjacent unit. 2 These designations indicate a height in stories plus an attic, as herein defined. The designation 2+ indicates a maximum of 2 habitable stories with a non-habitable attic and garage underneath, if provided. The story containing the garage is not considered habitable if the garage area occupies 50% or more of the entire story. 3 In BO, BL, BG - 2 and BG – 3 Districts, for brand new residential uses, at least 10% of the lot area must be set aside for recreational purposes, excluding the required five foot buffer. 4 But not more than two hundred (200) feet. PERMITTED DIMENSIONS BY DISTRICT TABLE 4.2 – Continued LOT YARD SETBACKS HEIGHT FLOOR TO DISTRICT USE FRONTAGE FRONT SIDE1 REAR AREA RATIO AREA (Minimum Maximum Maximum (Maximum) (Minimum SF) Minimum depth (linear ft.) linear ft.) in stories2 in ft. IP-0.33 All 75,000 200 25 25 25 NA 50 0.33 to 1 ML-0.5 25 25 0.5 to 1 ML-1.0 All NA NA NA 15 NA 1 to 1 ML-2.0 25 NA 2 to 1 MG-0.5 25 25 50 0.5 to 1 MG-1.0 All NA NA NA NA 1 to 1 15 15 NA MG-2.0 2 to 1 IN-S IN-H All NA NA 15 10 10 NA NA NA A-1 1 Not applicable to that portion of a semi-detached or attached single-family dwelling, where permitted, that shares a party wall or a double wall on or along a common side lot line with an adjacent unit 2 These designations indicate a height in stories plus an attic, as herein defined. The designation 2+ indicates a maximum of 2 habitable stories with a non-habitable attic and garage underneath, if provided. The story containing the garage is not considered habitable if the garage area occupies 50% or more of the entire story. TABLE 4.2 Permitted Dimensions by District Notes to Table 4.2 Note 1 Lot or yard areas may not be transferred from one (1) parcel of land to another in such a manner as to make either parcel nonconforming dimensionally. Note 2. Lot or yard areas required for new buildings may not include lot or yard areas needed for the dimensional conformance of other buildings. Note 3. Where minimum frontages are required, either of the following may be used, though in no case may any part of a lot have less than twenty (20) feet of access in any dimension.</w:t>
      </w:r>
    </w:p>
    <w:p>
      <w:pPr>
        <w:pStyle w:val="ListParagraph"/>
        <w:numPr>
          <w:ilvl w:val="0"/>
          <w:numId w:val="1"/>
        </w:numPr>
      </w:pPr>
      <w:r>
        <w:t xml:space="preserve">a)</w:t>
      </w:r>
      <w:r>
        <w:tab/>
      </w:r>
      <w:r>
        <w:t xml:space="preserve">The width of the lot as measured along the street right of way line.</w:t>
      </w:r>
    </w:p>
    <w:p>
      <w:pPr>
        <w:pStyle w:val="ListParagraph"/>
        <w:numPr>
          <w:ilvl w:val="0"/>
          <w:numId w:val="1"/>
        </w:numPr>
      </w:pPr>
      <w:r>
        <w:t xml:space="preserve">b)</w:t>
      </w:r>
      <w:r>
        <w:tab/>
      </w:r>
      <w:r>
        <w:t xml:space="preserve">In the case of a cul-de-sac, the width of the lot measured at the point of the least setback and on a line parallel with the street right of way line.</w:t>
      </w:r>
    </w:p>
    <w:p>
      <w:pPr>
        <w:ind w:left="490"/>
      </w:pPr>
      <w:r>
        <w:t xml:space="preserve">Note 4. On a lot where the frontage is on one (1) side of the street between two (2) intersecting streets and is part in a Residence District and part in a Business or Manufacturing District, the front yard depth in the Business or Manufacturing District for a distance of one hundred (100) feet from the district boundary shall not be less than the front yard depth specified for the Residence District. Note 5 Substantial irregularity – No lot shall be created that is substantially irregular in shape. For the purposes of this section, a lot is “substantially irregular” if it has a regularity factor that is less than 0.4 as determined by the following formula: R=16A/pˆ2 Where: R = regularity factor; A = area of the lot (in square feet); and p = perimeter of the lot (in feet). The provisions of this section shall not apply to lots shown on plans recorded at the Worcester District Registry of Deeds before January 12, 2005. Lots shown on such plans shall not be considered to be nonconforming for the Article IV, Section 4, Table 4.2, Permitted Dimensions By District, Table 4.2, is hereby amended by purposes of this Ordinance. Note 6. Alignment – Where the average front yard of two (2) or more existing buildings fronting on the same street on the same block and within a distance of one hundred fifty (150) feet of the applicant’s lot is five (5) feet less than the required front yard depth, then the average of the existing alignments shall be the required front yard depth for the applicant’s lot. Note 7. The owner of a corner lot may designate either street lot line as the front lot line. Once so designated, it shall apply for all dimensional purposes. The exterior side yard of a corner lot shall not be less than: In RS and RL districts fifteen (15) feet In RG districts ten (10) feet In BO districts ten (10) feet In BL, ML and MG districts, one half (.5) the respective front yard requirements. Note 8. Clear View of Intersecting Streets – In all districts with front yard set back requirements, in order to provide a clear view of intersecting streets to vehicles, there shall be a triangular area of clear vision formed by the two intersecting streets. The size of the triangular area is to be the minimum front set back for the district. On any portion of a lot that lies within the triangular area, nothing shall be erected, placed, planted or allowed to grow in such a manner as to materially impede vision between a height of two and one-half (2.5) feet and ten (10) feet above the grade at the two street centerlines. The triangular area shall be formed by connecting three (3) points: the intersection of the two street right of way lines and the two (2) points along each street right of way line, at a distance from the intersecting point which is equal to the required front yard set back. Note 9. In Business or Manufacturing districts where a side lot line abuts a Residence district, the side yard requirements of the Residence district shall apply. Note 10. Waiver – The Zoning Board of Appeals may, by special permit, waive or modify the requirements for street access, the location of accessory parking and spacing and dimensional controls for a group of buildings designed and intended to remain under the same ownership and management where it is demonstrated that with such modification there will be provided light, air, sunlight, and amenities of a standard no lower than would be provided under said requirements. Note 11. In BG-6.0 districts an additional floor space premium is allowed where off street parking is provided on-site of the building or within one thousand (1,000) feet of the facility it is to serve. The premium, six hundred (600) square feet of floor space for each parking space provided, may be used in computing the floor area ratio. Note 12. Any new building, addition or substantial renovation of a building in the ML and MG use bordering an RS/RL/RG district must have a buffer to each abutting property of at least fifty (50) feet. Uses within the buffer shall be at an intensity no greater than fifty percent (50%) of that permitted in the district. Commencing on April 2, 1991, all subdivision of land for MG and ML purposes, which are border lots, must provide the fifty (50) feet buffer at the perimeter(s) of the parcel being subdivided. Note 13. In Institutional Zones for educational institutions (IN-S), structures are required to be set back fifty (50) feet from the nearest property line. Any structure constructed between fifty-one (51) and one hundred (100) feet from the nearest property line, shall be no higher than the height limitation imposed by the abutting zoning district nearest to the structure to be built. The property line, for purposes of this note, shall be defined as the exterior boundary line of the Institutional property, as recorded on the deed, which separates the Institutional property from adjacent properties or streets. Note 14. Any group home for mentally and physically disabled persons shall meet all the dimensional requirements of a single-family dwelling. Note 15. Notwithstanding the minimum lot area provisions of Table 4.2 to the contrary, in an RG-5 District, for any undeveloped lot in existence by recorded deed or plan as of September 18, 2013, the minimum lot area shall be 4,000 square feet for the construction of single-family detached, single-family attached, single-family semi-detached, two-family and three family dwellings. All other dimensional requirements pertaining to RG-5 Districts remain unaltered by this provision.</w:t>
      </w:r>
    </w:p>
    <w:p>
      <w:pPr>
        <w:pStyle w:val="Heading3"/>
      </w:pPr>
      <w:r>
        <w:t xml:space="preserve">§ 5. Filling and Excavating of Earth</w:t>
      </w:r>
    </w:p>
    <w:p>
      <w:pPr>
        <w:pStyle w:val="ListParagraph"/>
        <w:numPr>
          <w:ilvl w:val="0"/>
          <w:numId w:val="1"/>
        </w:numPr>
      </w:pPr>
      <w:r>
        <w:t xml:space="preserve">A.</w:t>
      </w:r>
      <w:r>
        <w:tab/>
      </w:r>
      <w:r>
        <w:t xml:space="preserve">Filling or Dumping of Earth</w:t>
      </w:r>
    </w:p>
    <w:p>
      <w:pPr>
        <w:pStyle w:val="ListParagraph"/>
        <w:numPr>
          <w:ilvl w:val="1"/>
          <w:numId w:val="1"/>
        </w:numPr>
      </w:pPr>
      <w:r>
        <w:t xml:space="preserve">1.</w:t>
      </w:r>
      <w:r>
        <w:tab/>
      </w:r>
      <w:r>
        <w:t xml:space="preserve">The placing, filling or dumping of snow and ice or earth, including soil, loam, sand, gravel, clay, stone, quarried rock or other subsurface products, except water, is permitted in all districts if such placing, filling or dumping is entirely incidental to:</w:t>
      </w:r>
    </w:p>
    <w:p>
      <w:pPr>
        <w:pStyle w:val="ListParagraph"/>
        <w:numPr>
          <w:ilvl w:val="2"/>
          <w:numId w:val="1"/>
        </w:numPr>
      </w:pPr>
      <w:r>
        <w:t xml:space="preserve">a)</w:t>
      </w:r>
      <w:r>
        <w:tab/>
      </w:r>
      <w:r>
        <w:t xml:space="preserve">The construction of any structure for which a building permit has been issued.</w:t>
      </w:r>
    </w:p>
    <w:p>
      <w:pPr>
        <w:pStyle w:val="ListParagraph"/>
        <w:numPr>
          <w:ilvl w:val="2"/>
          <w:numId w:val="1"/>
        </w:numPr>
      </w:pPr>
      <w:r>
        <w:t xml:space="preserve">b)</w:t>
      </w:r>
      <w:r>
        <w:tab/>
      </w:r>
      <w:r>
        <w:t xml:space="preserve">The construction of ways within subdivisions and “more than one (1) building on a lot” projects, which have been approved by the Planning Board.</w:t>
      </w:r>
    </w:p>
    <w:p>
      <w:pPr>
        <w:pStyle w:val="ListParagraph"/>
        <w:numPr>
          <w:ilvl w:val="2"/>
          <w:numId w:val="1"/>
        </w:numPr>
      </w:pPr>
      <w:r>
        <w:t xml:space="preserve">c)</w:t>
      </w:r>
      <w:r>
        <w:tab/>
      </w:r>
      <w:r>
        <w:t xml:space="preserve">Utility construction in public and private ways and private property.</w:t>
      </w:r>
    </w:p>
    <w:p>
      <w:pPr>
        <w:pStyle w:val="ListParagraph"/>
        <w:numPr>
          <w:ilvl w:val="2"/>
          <w:numId w:val="1"/>
        </w:numPr>
      </w:pPr>
      <w:r>
        <w:t xml:space="preserve">d)</w:t>
      </w:r>
      <w:r>
        <w:tab/>
      </w:r>
      <w:r>
        <w:t xml:space="preserve">The routine landscaping (not including significant changes in topography) of a lot with a one (1) or two (2) family residence thereon by the owner thereof so long as the existing topography of the parcel in no location exceeds a 15% grade.</w:t>
      </w:r>
    </w:p>
    <w:p>
      <w:pPr>
        <w:pStyle w:val="ListParagraph"/>
        <w:numPr>
          <w:ilvl w:val="2"/>
          <w:numId w:val="1"/>
        </w:numPr>
      </w:pPr>
      <w:r>
        <w:t xml:space="preserve">e)</w:t>
      </w:r>
      <w:r>
        <w:tab/>
      </w:r>
      <w:r>
        <w:t xml:space="preserve">The construction of parking lots as approved under Article IV, Section-7.</w:t>
      </w:r>
    </w:p>
    <w:p>
      <w:pPr>
        <w:pStyle w:val="ListParagraph"/>
        <w:numPr>
          <w:ilvl w:val="1"/>
          <w:numId w:val="1"/>
        </w:numPr>
      </w:pPr>
      <w:r>
        <w:t xml:space="preserve">2.</w:t>
      </w:r>
      <w:r>
        <w:tab/>
      </w:r>
      <w:r>
        <w:t xml:space="preserve">During construction for any of the activities in Section-5(A)(1) above, all disturbed areas of land shall have erosion control to prevent damage to any adjacent properties. Erosion control methods shall be approved by the Director of Code Enforcement or the Commissioner of the Department of Public Works &amp; Facilities, as applicable, and shall be installed prior to construction. The Director of Code Enforcement or the Commissioner of the Department of Public Works &amp; Facilities, as applicable, may require certification by a registered professional engineer of erosion control methods prior to the issuance of any building permit.</w:t>
      </w:r>
    </w:p>
    <w:p>
      <w:pPr>
        <w:pStyle w:val="ListParagraph"/>
        <w:numPr>
          <w:ilvl w:val="1"/>
          <w:numId w:val="1"/>
        </w:numPr>
      </w:pPr>
      <w:r>
        <w:t xml:space="preserve">3.</w:t>
      </w:r>
      <w:r>
        <w:tab/>
      </w:r>
      <w:r>
        <w:t xml:space="preserve">All earth placing, filling or dumping incidental to the activities in Section-5(A)(1) above, shall have finished slopes at no greater than two and one half to one (2.5:1) without providing some form of slope protection or retaining walls. Any slope protection method or retaining wall shall receive the approval of the Director of Code Enforcement or the Commissioner of the Department of Public Works &amp; Facilities, as applicable, prior to its installation. The Director of Code Enforcement or the Commissioner of the Department of Public Works &amp; Facilities, as applicable, may require certification by a registered professional engineer of such protection prior to the issuance of any building permit.</w:t>
      </w:r>
    </w:p>
    <w:p>
      <w:pPr>
        <w:pStyle w:val="ListParagraph"/>
        <w:numPr>
          <w:ilvl w:val="1"/>
          <w:numId w:val="1"/>
        </w:numPr>
      </w:pPr>
      <w:r>
        <w:t xml:space="preserve">4.</w:t>
      </w:r>
      <w:r>
        <w:tab/>
      </w:r>
      <w:r>
        <w:t xml:space="preserve">All other earth placing, filling or dumping, including snow and ice, shall be permitted only upon grant of a special permit from the Zoning Board of Appeals. The Zoning Board of Appeals may issue a special permit for the placing, filling or dumping of earth or other material, including ice and snow, after a report by the Director of Public Health and the Conservation Commission subject to the following conditions:</w:t>
      </w:r>
    </w:p>
    <w:p>
      <w:pPr>
        <w:pStyle w:val="ListParagraph"/>
        <w:numPr>
          <w:ilvl w:val="2"/>
          <w:numId w:val="1"/>
        </w:numPr>
      </w:pPr>
      <w:r>
        <w:t xml:space="preserve">a)</w:t>
      </w:r>
      <w:r>
        <w:tab/>
      </w:r>
      <w:r>
        <w:t xml:space="preserve">Establishment of a time period to complete the filling operations but not more than two (2) years.</w:t>
      </w:r>
    </w:p>
    <w:p>
      <w:pPr>
        <w:pStyle w:val="ListParagraph"/>
        <w:numPr>
          <w:ilvl w:val="2"/>
          <w:numId w:val="1"/>
        </w:numPr>
      </w:pPr>
      <w:r>
        <w:t xml:space="preserve">b)</w:t>
      </w:r>
      <w:r>
        <w:tab/>
      </w:r>
      <w:r>
        <w:t xml:space="preserve">Not more than two (2) entrances-exits shall be allowed onto any one street.</w:t>
      </w:r>
    </w:p>
    <w:p>
      <w:pPr>
        <w:pStyle w:val="ListParagraph"/>
        <w:numPr>
          <w:ilvl w:val="2"/>
          <w:numId w:val="1"/>
        </w:numPr>
      </w:pPr>
      <w:r>
        <w:t xml:space="preserve">c)</w:t>
      </w:r>
      <w:r>
        <w:tab/>
      </w:r>
      <w:r>
        <w:t xml:space="preserve">At all stages of operation, proper drainage shall be provided to prevent the collection and stagnation of water and to prevent harmful effects upon surrounding properties. During construction or filling operations on sites adjacent to or where drainage and runoff will enter any natural stream, pond or culvert connected thereto, a berm will be constructed between the stream or pond and the construction site, with drainage channeled through a settling pool or catch basin to trap silt prior to entering the water body. If, when complete, the site is to be paved, all drainage shall be channeled through an approved catch basin before entering the water body.</w:t>
      </w:r>
    </w:p>
    <w:p>
      <w:pPr>
        <w:pStyle w:val="ListParagraph"/>
        <w:numPr>
          <w:ilvl w:val="2"/>
          <w:numId w:val="1"/>
        </w:numPr>
      </w:pPr>
      <w:r>
        <w:t xml:space="preserve">d)</w:t>
      </w:r>
      <w:r>
        <w:tab/>
      </w:r>
      <w:r>
        <w:t xml:space="preserve">During the period of placing, filling or dumping, all necessary precautions shall be taken as deemed necessary by the Zoning Board of Appeals for the protection of pedestrians and vehicles.</w:t>
      </w:r>
    </w:p>
    <w:p>
      <w:pPr>
        <w:pStyle w:val="ListParagraph"/>
        <w:numPr>
          <w:ilvl w:val="2"/>
          <w:numId w:val="1"/>
        </w:numPr>
      </w:pPr>
      <w:r>
        <w:t xml:space="preserve">e)</w:t>
      </w:r>
      <w:r>
        <w:tab/>
      </w:r>
      <w:r>
        <w:t xml:space="preserve">When the placing, filling and/or dumping of earth are completed, the area is to be graded so that no finish grade shall be steeper than a slope of 2.5 horizontal to 1 vertical.</w:t>
      </w:r>
    </w:p>
    <w:p>
      <w:pPr>
        <w:pStyle w:val="ListParagraph"/>
        <w:numPr>
          <w:ilvl w:val="2"/>
          <w:numId w:val="1"/>
        </w:numPr>
      </w:pPr>
      <w:r>
        <w:t xml:space="preserve">f)</w:t>
      </w:r>
      <w:r>
        <w:tab/>
      </w:r>
      <w:r>
        <w:t xml:space="preserve">A layer of arable topsoil of a quality approved by the Director of Code Enforcement shall be spread over the clean fill to a minimum of four (4) inches in accordance with the approved contour plan. The area shall be seeded with a suitable cover crop and maintained until the area is stabilized and approved by the Director of Code Enforcement.</w:t>
      </w:r>
    </w:p>
    <w:p>
      <w:pPr>
        <w:pStyle w:val="ListParagraph"/>
        <w:numPr>
          <w:ilvl w:val="2"/>
          <w:numId w:val="1"/>
        </w:numPr>
      </w:pPr>
      <w:r>
        <w:t xml:space="preserve">g)</w:t>
      </w:r>
      <w:r>
        <w:tab/>
      </w:r>
      <w:r>
        <w:t xml:space="preserve">All necessary precautions shall be taken to protect against any damage being done to surrounding land and to ensure that no dangerous conditions are created after completion.</w:t>
      </w:r>
    </w:p>
    <w:p>
      <w:pPr>
        <w:pStyle w:val="ListParagraph"/>
        <w:numPr>
          <w:ilvl w:val="2"/>
          <w:numId w:val="1"/>
        </w:numPr>
      </w:pPr>
      <w:r>
        <w:t xml:space="preserve">h)</w:t>
      </w:r>
      <w:r>
        <w:tab/>
      </w:r>
      <w:r>
        <w:t xml:space="preserve">Prior to any placing, filling or dumping of earth, site plans shall be submitted to the Zoning Board of Appeals containing the following:</w:t>
      </w:r>
    </w:p>
    <w:p>
      <w:pPr>
        <w:pStyle w:val="ListParagraph"/>
        <w:numPr>
          <w:ilvl w:val="2"/>
          <w:numId w:val="1"/>
        </w:numPr>
      </w:pPr>
      <w:r>
        <w:t xml:space="preserve">i)</w:t>
      </w:r>
      <w:r>
        <w:tab/>
      </w:r>
      <w:r>
        <w:t xml:space="preserve">Existing and proposed contours at intervals of two (2) feet.</w:t>
      </w:r>
    </w:p>
    <w:p>
      <w:pPr>
        <w:pStyle w:val="ListParagraph"/>
        <w:numPr>
          <w:ilvl w:val="3"/>
          <w:numId w:val="1"/>
        </w:numPr>
      </w:pPr>
      <w:r>
        <w:t xml:space="preserve">ii)</w:t>
      </w:r>
      <w:r>
        <w:tab/>
      </w:r>
      <w:r>
        <w:t xml:space="preserve">Estimated volume of earth to be dumped.</w:t>
      </w:r>
    </w:p>
    <w:p>
      <w:pPr>
        <w:pStyle w:val="ListParagraph"/>
        <w:numPr>
          <w:ilvl w:val="3"/>
          <w:numId w:val="1"/>
        </w:numPr>
      </w:pPr>
      <w:r>
        <w:t xml:space="preserve">iii)</w:t>
      </w:r>
      <w:r>
        <w:tab/>
      </w:r>
      <w:r>
        <w:t xml:space="preserve">Proposed truck access to the excavation.</w:t>
      </w:r>
    </w:p>
    <w:p>
      <w:pPr>
        <w:pStyle w:val="ListParagraph"/>
        <w:numPr>
          <w:ilvl w:val="3"/>
          <w:numId w:val="1"/>
        </w:numPr>
      </w:pPr>
      <w:r>
        <w:t xml:space="preserve">iv)</w:t>
      </w:r>
      <w:r>
        <w:tab/>
      </w:r>
      <w:r>
        <w:t xml:space="preserve">Names of abutters.</w:t>
      </w:r>
    </w:p>
    <w:p>
      <w:pPr>
        <w:pStyle w:val="ListParagraph"/>
        <w:numPr>
          <w:ilvl w:val="1"/>
          <w:numId w:val="1"/>
        </w:numPr>
      </w:pPr>
      <w:r>
        <w:t xml:space="preserve">5.</w:t>
      </w:r>
      <w:r>
        <w:tab/>
      </w:r>
      <w:r>
        <w:t xml:space="preserve">The Zoning Board of Appeals shall make a finding of approval, approval with conditions or disapproval. Any finding shall be in writing and shall be directed to one (1) or more of the standards provided above.</w:t>
      </w:r>
    </w:p>
    <w:p>
      <w:pPr>
        <w:pStyle w:val="ListParagraph"/>
        <w:numPr>
          <w:ilvl w:val="0"/>
          <w:numId w:val="1"/>
        </w:numPr>
      </w:pPr>
      <w:r>
        <w:t xml:space="preserve">B.</w:t>
      </w:r>
      <w:r>
        <w:tab/>
      </w:r>
      <w:r>
        <w:t xml:space="preserve">Earth Excavation</w:t>
      </w:r>
    </w:p>
    <w:p>
      <w:pPr>
        <w:pStyle w:val="ListParagraph"/>
        <w:numPr>
          <w:ilvl w:val="1"/>
          <w:numId w:val="1"/>
        </w:numPr>
      </w:pPr>
      <w:r>
        <w:t xml:space="preserve">1.</w:t>
      </w:r>
      <w:r>
        <w:tab/>
      </w:r>
      <w:r>
        <w:t xml:space="preserve">The removal of earth, including soil, loam, sand, gravel, clay, stone, quarried rock or other subsurface products except water, is permitted in all districts if such material is entirely incidental to:</w:t>
      </w:r>
    </w:p>
    <w:p>
      <w:pPr>
        <w:pStyle w:val="ListParagraph"/>
        <w:numPr>
          <w:ilvl w:val="2"/>
          <w:numId w:val="1"/>
        </w:numPr>
      </w:pPr>
      <w:r>
        <w:t xml:space="preserve">a)</w:t>
      </w:r>
      <w:r>
        <w:tab/>
      </w:r>
      <w:r>
        <w:t xml:space="preserve">The construction of any structure for which a building permit has been issued which specifies nature and extent of such earth removal.</w:t>
      </w:r>
    </w:p>
    <w:p>
      <w:pPr>
        <w:pStyle w:val="ListParagraph"/>
        <w:numPr>
          <w:ilvl w:val="2"/>
          <w:numId w:val="1"/>
        </w:numPr>
      </w:pPr>
      <w:r>
        <w:t xml:space="preserve">b)</w:t>
      </w:r>
      <w:r>
        <w:tab/>
      </w:r>
      <w:r>
        <w:t xml:space="preserve">The construction of ways within subdivisions and “more than one (1) building on a lot” projects, which have been approved by the Planning Board.</w:t>
      </w:r>
    </w:p>
    <w:p>
      <w:pPr>
        <w:pStyle w:val="ListParagraph"/>
        <w:numPr>
          <w:ilvl w:val="2"/>
          <w:numId w:val="1"/>
        </w:numPr>
      </w:pPr>
      <w:r>
        <w:t xml:space="preserve">c)</w:t>
      </w:r>
      <w:r>
        <w:tab/>
      </w:r>
      <w:r>
        <w:t xml:space="preserve">Utility construction in public and private ways and private property.</w:t>
      </w:r>
    </w:p>
    <w:p>
      <w:pPr>
        <w:pStyle w:val="ListParagraph"/>
        <w:numPr>
          <w:ilvl w:val="2"/>
          <w:numId w:val="1"/>
        </w:numPr>
      </w:pPr>
      <w:r>
        <w:t xml:space="preserve">d)</w:t>
      </w:r>
      <w:r>
        <w:tab/>
      </w:r>
      <w:r>
        <w:t xml:space="preserve">The routine landscaping (not including significant changes in topography) of a lot with a one (1) or two (2) family residence thereon by the owner thereof, so long as the existing topography of the parcel in no location exceeds a 15% grade.</w:t>
      </w:r>
    </w:p>
    <w:p>
      <w:pPr>
        <w:pStyle w:val="ListParagraph"/>
        <w:numPr>
          <w:ilvl w:val="2"/>
          <w:numId w:val="1"/>
        </w:numPr>
      </w:pPr>
      <w:r>
        <w:t xml:space="preserve">e)</w:t>
      </w:r>
      <w:r>
        <w:tab/>
      </w:r>
      <w:r>
        <w:t xml:space="preserve">The construction of parking lots as approved under Article IV, Section-7.</w:t>
      </w:r>
    </w:p>
    <w:p>
      <w:pPr>
        <w:pStyle w:val="ListParagraph"/>
        <w:numPr>
          <w:ilvl w:val="1"/>
          <w:numId w:val="1"/>
        </w:numPr>
      </w:pPr>
      <w:r>
        <w:t xml:space="preserve">2.</w:t>
      </w:r>
      <w:r>
        <w:tab/>
      </w:r>
      <w:r>
        <w:t xml:space="preserve">During construction for any of the activities in Section-5(B)(1) above, all disturbed areas of land shall have erosion control for the protection of adjacent properties. Erosion control methods shall be approved by the Director of Code Enforcement or the Commissioner of the Department of Public Works &amp; Facilities, as applicable, and shall be installed prior to construction. The Director of Code Enforcement or the Commissioner of the Department of Public Works &amp; Facilities, as applicable, may require certification by a registered professional engineer of the erosion control methods prior to the issuance of any building permit.</w:t>
      </w:r>
    </w:p>
    <w:p>
      <w:pPr>
        <w:pStyle w:val="ListParagraph"/>
        <w:numPr>
          <w:ilvl w:val="1"/>
          <w:numId w:val="1"/>
        </w:numPr>
      </w:pPr>
      <w:r>
        <w:t xml:space="preserve">3.</w:t>
      </w:r>
      <w:r>
        <w:tab/>
      </w:r>
      <w:r>
        <w:t xml:space="preserve">Any earth removal incidental to the activities in Section-5(B)(1) above, shall have finished slopes of no greater than two and one half to one (2.5:1) without providing some form of slope protection or retaining wall. Any slope protection method or retaining wall shall receive the approval of the Director of Code Enforcement or the Commissioner of the Department of Public Works &amp; Facilities, as applicable, prior to its installation. The Director of Code Enforcement or the Commissioner of the Department of Public Works &amp; Facilities, as applicable, may require certification by a registered professional engineer of slope protection prior to the issuance of any building permit.</w:t>
      </w:r>
    </w:p>
    <w:p>
      <w:pPr>
        <w:pStyle w:val="ListParagraph"/>
        <w:numPr>
          <w:ilvl w:val="1"/>
          <w:numId w:val="1"/>
        </w:numPr>
      </w:pPr>
      <w:r>
        <w:t xml:space="preserve">4.</w:t>
      </w:r>
      <w:r>
        <w:tab/>
      </w:r>
      <w:r>
        <w:t xml:space="preserve">All other earth removal shall be permitted only upon grant of a special permit from the Zoning Board of Appeals. The Zoning Board of Appeals may issue a special permit for removal of earth after a report by the Commissioner of Public Health and the Conservation Commission subject to the following conditions:</w:t>
      </w:r>
    </w:p>
    <w:p>
      <w:pPr>
        <w:pStyle w:val="ListParagraph"/>
        <w:numPr>
          <w:ilvl w:val="2"/>
          <w:numId w:val="1"/>
        </w:numPr>
      </w:pPr>
      <w:r>
        <w:t xml:space="preserve">a)</w:t>
      </w:r>
      <w:r>
        <w:tab/>
      </w:r>
      <w:r>
        <w:t xml:space="preserve">Establishment of a time period to complete the removal operations but not more than two (2) years.</w:t>
      </w:r>
    </w:p>
    <w:p>
      <w:pPr>
        <w:pStyle w:val="ListParagraph"/>
        <w:numPr>
          <w:ilvl w:val="2"/>
          <w:numId w:val="1"/>
        </w:numPr>
      </w:pPr>
      <w:r>
        <w:t xml:space="preserve">b)</w:t>
      </w:r>
      <w:r>
        <w:tab/>
      </w:r>
      <w:r>
        <w:t xml:space="preserve">Existing topsoil not to be removed from the site until the area from which it was removed has been restored.</w:t>
      </w:r>
    </w:p>
    <w:p>
      <w:pPr>
        <w:pStyle w:val="ListParagraph"/>
        <w:numPr>
          <w:ilvl w:val="2"/>
          <w:numId w:val="1"/>
        </w:numPr>
      </w:pPr>
      <w:r>
        <w:t xml:space="preserve">c)</w:t>
      </w:r>
      <w:r>
        <w:tab/>
      </w:r>
      <w:r>
        <w:t xml:space="preserve">Not more than two (2) entrances – exits shall be allowed onto any one (1) street.</w:t>
      </w:r>
    </w:p>
    <w:p>
      <w:pPr>
        <w:pStyle w:val="ListParagraph"/>
        <w:numPr>
          <w:ilvl w:val="2"/>
          <w:numId w:val="1"/>
        </w:numPr>
      </w:pPr>
      <w:r>
        <w:t xml:space="preserve">d)</w:t>
      </w:r>
      <w:r>
        <w:tab/>
      </w:r>
      <w:r>
        <w:t xml:space="preserve">At all stages of operation proper drainage shall be provided to prevent the collection and stagnation of water and to prevent harmful effects upon surrounding properties. During construction or soil removal, on sites adjacent to or where drainage and runoff will enter any natural stream, pond or culvert connected thereto, a berm will be constructed between the stream or pond and the construction site with drainage channeled through a settling pool or catch basin to trap silt prior to entering the water body. If when complete, the site is to be paved, all drainage shall be channeled through an approved catch basin before entering the water body.</w:t>
      </w:r>
    </w:p>
    <w:p>
      <w:pPr>
        <w:pStyle w:val="ListParagraph"/>
        <w:numPr>
          <w:ilvl w:val="2"/>
          <w:numId w:val="1"/>
        </w:numPr>
      </w:pPr>
      <w:r>
        <w:t xml:space="preserve">e)</w:t>
      </w:r>
      <w:r>
        <w:tab/>
      </w:r>
      <w:r>
        <w:t xml:space="preserve">During the period of excavation and removal, barricades and/or fences shall be erected as are deemed necessary by the Zoning Board of Appeals for the protection of pedestrians or vehicles.</w:t>
      </w:r>
    </w:p>
    <w:p>
      <w:pPr>
        <w:pStyle w:val="ListParagraph"/>
        <w:numPr>
          <w:ilvl w:val="2"/>
          <w:numId w:val="1"/>
        </w:numPr>
      </w:pPr>
      <w:r>
        <w:t xml:space="preserve">f)</w:t>
      </w:r>
      <w:r>
        <w:tab/>
      </w:r>
      <w:r>
        <w:t xml:space="preserve">When excavations and removal operations or either of them is completed, the excavated area shall be graded so that no gradients in disturbed earth shall be steeper than a slope 2.5 horizontal to 1 vertical.</w:t>
      </w:r>
    </w:p>
    <w:p>
      <w:pPr>
        <w:pStyle w:val="ListParagraph"/>
        <w:numPr>
          <w:ilvl w:val="2"/>
          <w:numId w:val="1"/>
        </w:numPr>
      </w:pPr>
      <w:r>
        <w:t xml:space="preserve">g)</w:t>
      </w:r>
      <w:r>
        <w:tab/>
      </w:r>
      <w:r>
        <w:t xml:space="preserve">In restoring the excavated areas, topsoil shall be spread to a depth of four (4) inches and shall be seeded with a suitable cover crop and maintained until the area is stabilized and approved by the Director of Code Enforcement.</w:t>
      </w:r>
    </w:p>
    <w:p>
      <w:pPr>
        <w:pStyle w:val="ListParagraph"/>
        <w:numPr>
          <w:ilvl w:val="2"/>
          <w:numId w:val="1"/>
        </w:numPr>
      </w:pPr>
      <w:r>
        <w:t xml:space="preserve">h)</w:t>
      </w:r>
      <w:r>
        <w:tab/>
      </w:r>
      <w:r>
        <w:t xml:space="preserve">Prior to any earth excavation, site plans shall be submitted to the Zoning Board of Appeals containing the following:</w:t>
      </w:r>
    </w:p>
    <w:p>
      <w:pPr>
        <w:pStyle w:val="ListParagraph"/>
        <w:numPr>
          <w:ilvl w:val="2"/>
          <w:numId w:val="1"/>
        </w:numPr>
      </w:pPr>
      <w:r>
        <w:t xml:space="preserve">i)</w:t>
      </w:r>
      <w:r>
        <w:tab/>
      </w:r>
      <w:r>
        <w:t xml:space="preserve">Existing and proposed contours at intervals of two (2) feet.</w:t>
      </w:r>
    </w:p>
    <w:p>
      <w:pPr>
        <w:pStyle w:val="ListParagraph"/>
        <w:numPr>
          <w:ilvl w:val="3"/>
          <w:numId w:val="1"/>
        </w:numPr>
      </w:pPr>
      <w:r>
        <w:t xml:space="preserve">ii)</w:t>
      </w:r>
      <w:r>
        <w:tab/>
      </w:r>
      <w:r>
        <w:t xml:space="preserve">Estimated volume of earth to be removed.</w:t>
      </w:r>
    </w:p>
    <w:p>
      <w:pPr>
        <w:pStyle w:val="ListParagraph"/>
        <w:numPr>
          <w:ilvl w:val="3"/>
          <w:numId w:val="1"/>
        </w:numPr>
      </w:pPr>
      <w:r>
        <w:t xml:space="preserve">iii)</w:t>
      </w:r>
      <w:r>
        <w:tab/>
      </w:r>
      <w:r>
        <w:t xml:space="preserve">Proposed truck access to the excavation.</w:t>
      </w:r>
    </w:p>
    <w:p>
      <w:pPr>
        <w:pStyle w:val="ListParagraph"/>
        <w:numPr>
          <w:ilvl w:val="3"/>
          <w:numId w:val="1"/>
        </w:numPr>
      </w:pPr>
      <w:r>
        <w:t xml:space="preserve">iv)</w:t>
      </w:r>
      <w:r>
        <w:tab/>
      </w:r>
      <w:r>
        <w:t xml:space="preserve">Names of abutters.</w:t>
      </w:r>
    </w:p>
    <w:p>
      <w:pPr>
        <w:pStyle w:val="ListParagraph"/>
        <w:numPr>
          <w:ilvl w:val="2"/>
          <w:numId w:val="1"/>
        </w:numPr>
      </w:pPr>
      <w:r>
        <w:t xml:space="preserve">v)</w:t>
      </w:r>
      <w:r>
        <w:tab/>
      </w:r>
      <w:r>
        <w:t xml:space="preserve">Ground water levels shall be indicated.</w:t>
      </w:r>
    </w:p>
    <w:p>
      <w:pPr>
        <w:pStyle w:val="ListParagraph"/>
        <w:numPr>
          <w:ilvl w:val="3"/>
          <w:numId w:val="1"/>
        </w:numPr>
      </w:pPr>
      <w:r>
        <w:t xml:space="preserve">vi)</w:t>
      </w:r>
      <w:r>
        <w:tab/>
      </w:r>
      <w:r>
        <w:t xml:space="preserve">Details of re-grading and re-vegetation of the site at conclusion of operations.</w:t>
      </w:r>
    </w:p>
    <w:p>
      <w:pPr>
        <w:pStyle w:val="ListParagraph"/>
        <w:numPr>
          <w:ilvl w:val="1"/>
          <w:numId w:val="1"/>
        </w:numPr>
      </w:pPr>
      <w:r>
        <w:t xml:space="preserve">5.</w:t>
      </w:r>
      <w:r>
        <w:tab/>
      </w:r>
      <w:r>
        <w:t xml:space="preserve">The Zoning Board of Appeals shall make a finding of approval, approval with conditions or disapproval. Any finding shall be in writing and shall be directed to one (1) or more of the standards provided above.</w:t>
      </w:r>
    </w:p>
    <w:p>
      <w:pPr>
        <w:pStyle w:val="ListParagraph"/>
        <w:numPr>
          <w:ilvl w:val="0"/>
          <w:numId w:val="1"/>
        </w:numPr>
      </w:pPr>
      <w:r>
        <w:t xml:space="preserve">C.</w:t>
      </w:r>
      <w:r>
        <w:tab/>
      </w:r>
      <w:r>
        <w:t xml:space="preserve">Stripping and Stockpiling On-site stripping and stockpiling of topsoil, loam, sand, gravel and other forms of earth is not allowed unless it is incidental to the activities listed in Section-5(A)(1) and Section 5(B)(1) or as provided for in a special permit issued by the Zoning Board of Appeals under Section 5(A)(4) and/or Section 5(B)(4).</w:t>
      </w:r>
    </w:p>
    <w:p>
      <w:pPr>
        <w:pStyle w:val="Heading3"/>
      </w:pPr>
      <w:r>
        <w:t xml:space="preserve">§ 6. Signs</w:t>
      </w:r>
    </w:p>
    <w:p>
      <w:pPr>
        <w:pStyle w:val="ListParagraph"/>
        <w:numPr>
          <w:ilvl w:val="0"/>
          <w:numId w:val="1"/>
        </w:numPr>
      </w:pPr>
      <w:r>
        <w:t xml:space="preserve">A.</w:t>
      </w:r>
      <w:r>
        <w:tab/>
      </w:r>
      <w:r>
        <w:t xml:space="preserve">Purpose and Intent The purpose of this Section-6 is to:</w:t>
      </w:r>
    </w:p>
    <w:p>
      <w:pPr>
        <w:pStyle w:val="ListParagraph"/>
        <w:numPr>
          <w:ilvl w:val="1"/>
          <w:numId w:val="1"/>
        </w:numPr>
      </w:pPr>
      <w:r>
        <w:t xml:space="preserve">1.</w:t>
      </w:r>
      <w:r>
        <w:tab/>
      </w:r>
      <w:r>
        <w:t xml:space="preserve">Promote safety along City sidewalks, streets and highways with respect to signs and effectively control signs in complex driving environments.</w:t>
      </w:r>
    </w:p>
    <w:p>
      <w:pPr>
        <w:pStyle w:val="ListParagraph"/>
        <w:numPr>
          <w:ilvl w:val="1"/>
          <w:numId w:val="1"/>
        </w:numPr>
      </w:pPr>
      <w:r>
        <w:t xml:space="preserve">2.</w:t>
      </w:r>
      <w:r>
        <w:tab/>
      </w:r>
      <w:r>
        <w:t xml:space="preserve">Effectively regulate the proper maintenance of signs.</w:t>
      </w:r>
    </w:p>
    <w:p>
      <w:pPr>
        <w:pStyle w:val="ListParagraph"/>
        <w:numPr>
          <w:ilvl w:val="1"/>
          <w:numId w:val="1"/>
        </w:numPr>
      </w:pPr>
      <w:r>
        <w:t xml:space="preserve">3.</w:t>
      </w:r>
      <w:r>
        <w:tab/>
      </w:r>
      <w:r>
        <w:t xml:space="preserve">Provide for the appropriate number, placement, scale, illumination, type and use of signage that:</w:t>
      </w:r>
    </w:p>
    <w:p>
      <w:pPr>
        <w:pStyle w:val="ListParagraph"/>
        <w:numPr>
          <w:ilvl w:val="2"/>
          <w:numId w:val="1"/>
        </w:numPr>
      </w:pPr>
      <w:r>
        <w:t xml:space="preserve">a)</w:t>
      </w:r>
      <w:r>
        <w:tab/>
      </w:r>
      <w:r>
        <w:t xml:space="preserve">Is compatible with the City’s built environment including its significant cultural, architectural, and historical resources.</w:t>
      </w:r>
    </w:p>
    <w:p>
      <w:pPr>
        <w:pStyle w:val="ListParagraph"/>
        <w:numPr>
          <w:ilvl w:val="2"/>
          <w:numId w:val="1"/>
        </w:numPr>
      </w:pPr>
      <w:r>
        <w:t xml:space="preserve">b)</w:t>
      </w:r>
      <w:r>
        <w:tab/>
      </w:r>
      <w:r>
        <w:t xml:space="preserve">Is proportional to the building and site upon which it is located.</w:t>
      </w:r>
    </w:p>
    <w:p>
      <w:pPr>
        <w:pStyle w:val="ListParagraph"/>
        <w:numPr>
          <w:ilvl w:val="2"/>
          <w:numId w:val="1"/>
        </w:numPr>
      </w:pPr>
      <w:r>
        <w:t xml:space="preserve">c)</w:t>
      </w:r>
      <w:r>
        <w:tab/>
      </w:r>
      <w:r>
        <w:t xml:space="preserve">Provides adequate identification, direction, and information to vehicles and pedestrians while minimizing clutter, unsightliness, and confusion.</w:t>
      </w:r>
    </w:p>
    <w:p>
      <w:pPr>
        <w:pStyle w:val="ListParagraph"/>
        <w:numPr>
          <w:ilvl w:val="2"/>
          <w:numId w:val="1"/>
        </w:numPr>
      </w:pPr>
      <w:r>
        <w:t xml:space="preserve">d)</w:t>
      </w:r>
      <w:r>
        <w:tab/>
      </w:r>
      <w:r>
        <w:t xml:space="preserve">Recognizes business needs, in particular, those of small local businesses, while balancing the interaction between commercial districts and residential neighborhoods and protecting quality of life.</w:t>
      </w:r>
    </w:p>
    <w:p>
      <w:pPr>
        <w:pStyle w:val="ListParagraph"/>
        <w:numPr>
          <w:ilvl w:val="2"/>
          <w:numId w:val="1"/>
        </w:numPr>
      </w:pPr>
      <w:r>
        <w:t xml:space="preserve">e)</w:t>
      </w:r>
      <w:r>
        <w:tab/>
      </w:r>
      <w:r>
        <w:t xml:space="preserve">Protects important view corridors.</w:t>
      </w:r>
    </w:p>
    <w:p>
      <w:pPr>
        <w:pStyle w:val="ListParagraph"/>
        <w:numPr>
          <w:ilvl w:val="2"/>
          <w:numId w:val="1"/>
        </w:numPr>
      </w:pPr>
      <w:r>
        <w:t xml:space="preserve">f)</w:t>
      </w:r>
      <w:r>
        <w:tab/>
      </w:r>
      <w:r>
        <w:t xml:space="preserve">Recognizes the intrinsic economic value of aesthetics for a community and protects against excessive signage.</w:t>
      </w:r>
    </w:p>
    <w:p>
      <w:pPr>
        <w:pStyle w:val="ListParagraph"/>
        <w:numPr>
          <w:ilvl w:val="2"/>
          <w:numId w:val="1"/>
        </w:numPr>
      </w:pPr>
      <w:r>
        <w:t xml:space="preserve">g)</w:t>
      </w:r>
      <w:r>
        <w:tab/>
      </w:r>
      <w:r>
        <w:t xml:space="preserve">Protects public investment in public spaces, including, but not limited to: streetscapes, public buildings and open space.</w:t>
      </w:r>
    </w:p>
    <w:p>
      <w:pPr>
        <w:pStyle w:val="ListParagraph"/>
        <w:numPr>
          <w:ilvl w:val="2"/>
          <w:numId w:val="1"/>
        </w:numPr>
      </w:pPr>
      <w:r>
        <w:t xml:space="preserve">h)</w:t>
      </w:r>
      <w:r>
        <w:tab/>
      </w:r>
      <w:r>
        <w:t xml:space="preserve">Allows for innovative design, recognizes changing technology and promotes effective communication of products, services and ideas.</w:t>
      </w:r>
    </w:p>
    <w:p>
      <w:pPr>
        <w:pStyle w:val="ListParagraph"/>
        <w:numPr>
          <w:ilvl w:val="2"/>
          <w:numId w:val="1"/>
        </w:numPr>
      </w:pPr>
      <w:r>
        <w:t xml:space="preserve">i)</w:t>
      </w:r>
      <w:r>
        <w:tab/>
      </w:r>
      <w:r>
        <w:t xml:space="preserve">Recognizes non-accessory signs as a legitimate means of advertising that should respect the quality of life, civic pride, economic prosperity and general welfare of the people who reside, visit, work or conduct business in the City.</w:t>
      </w:r>
    </w:p>
    <w:p>
      <w:pPr>
        <w:pStyle w:val="ListParagraph"/>
        <w:numPr>
          <w:ilvl w:val="0"/>
          <w:numId w:val="1"/>
        </w:numPr>
      </w:pPr>
      <w:r>
        <w:t xml:space="preserve">B.</w:t>
      </w:r>
      <w:r>
        <w:tab/>
      </w:r>
      <w:r>
        <w:t xml:space="preserve">Administration</w:t>
      </w:r>
    </w:p>
    <w:p>
      <w:pPr>
        <w:pStyle w:val="ListParagraph"/>
        <w:numPr>
          <w:ilvl w:val="1"/>
          <w:numId w:val="1"/>
        </w:numPr>
      </w:pPr>
      <w:r>
        <w:t xml:space="preserve">1.</w:t>
      </w:r>
      <w:r>
        <w:tab/>
      </w:r>
      <w:r>
        <w:t xml:space="preserve">Permits and Inspections</w:t>
      </w:r>
    </w:p>
    <w:p>
      <w:pPr>
        <w:pStyle w:val="ListParagraph"/>
        <w:numPr>
          <w:ilvl w:val="2"/>
          <w:numId w:val="1"/>
        </w:numPr>
      </w:pPr>
      <w:r>
        <w:t xml:space="preserve">a)</w:t>
      </w:r>
      <w:r>
        <w:tab/>
      </w:r>
      <w:r>
        <w:t xml:space="preserve">No sign shall be erected, altered, or relocated without a sign permit issued by the Building Commissioner except for the following signs which do not need permits but shall still comply with the applicable requirements of this section: all temporary signs with the exception of temporary roof signs and temporary signs with an element of motion or internal illumination, accessory instructional signs, and window signs.</w:t>
      </w:r>
    </w:p>
    <w:p>
      <w:pPr>
        <w:pStyle w:val="ListParagraph"/>
        <w:numPr>
          <w:ilvl w:val="2"/>
          <w:numId w:val="1"/>
        </w:numPr>
      </w:pPr>
      <w:r>
        <w:t xml:space="preserve">b)</w:t>
      </w:r>
      <w:r>
        <w:tab/>
      </w:r>
      <w:r>
        <w:t xml:space="preserve">No sign shall be erected, enlarged, relocated, or changed from a static sign to a digital display sign prior to submission of the required sign permit application to the Department of Inspectional Services and approval from the Building Commissioner except signs that are exempt from obtaining a building permit per 780 CMR 120.H. Said signs shall comply with all applicable dimensional, installation and operational standards set forth in this ordinance.</w:t>
      </w:r>
    </w:p>
    <w:p>
      <w:pPr>
        <w:pStyle w:val="ListParagraph"/>
        <w:numPr>
          <w:ilvl w:val="2"/>
          <w:numId w:val="1"/>
        </w:numPr>
      </w:pPr>
      <w:r>
        <w:t xml:space="preserve">c)</w:t>
      </w:r>
      <w:r>
        <w:tab/>
      </w:r>
      <w:r>
        <w:t xml:space="preserve">Sign permit applications submitted to the Department of Inspectional Services shall include: a plan drawn to scale, structural drawings and specifications of the sign, including, if applicable, foundations and Underwriter’s Laboratory certification, as required by the sign permit application.</w:t>
      </w:r>
    </w:p>
    <w:p>
      <w:pPr>
        <w:pStyle w:val="ListParagraph"/>
        <w:numPr>
          <w:ilvl w:val="2"/>
          <w:numId w:val="1"/>
        </w:numPr>
      </w:pPr>
      <w:r>
        <w:t xml:space="preserve">d)</w:t>
      </w:r>
      <w:r>
        <w:tab/>
      </w:r>
      <w:r>
        <w:t xml:space="preserve">Non-accessory signs, subject to the rules and regulations of the Outdoor Advertising Board of the Commonwealth of Massachusetts, require a special permit from the Special Permit Granting Authority. Special permit applications shall be accompanied by a site plan drawn to scale that meets all applicable requirements set forth for site plans in</w:t>
      </w:r>
    </w:p>
    <w:p>
      <w:pPr>
        <w:pStyle w:val="Heading3"/>
      </w:pPr>
      <w:r>
        <w:t xml:space="preserve">§ 4. Nonconforming Uses and Structures</w:t>
      </w:r>
    </w:p>
    <w:p>
      <w:pPr>
        <w:pStyle w:val="ListParagraph"/>
        <w:numPr>
          <w:ilvl w:val="0"/>
          <w:numId w:val="1"/>
        </w:numPr>
      </w:pPr>
      <w:r>
        <w:t xml:space="preserve">A.</w:t>
      </w:r>
      <w:r>
        <w:tab/>
      </w:r>
      <w:r>
        <w:t xml:space="preserve">This Ordinance, and any amendment hereto, shall not apply to pre-existing lawfully created uses or structures, but shall apply to:</w:t>
      </w:r>
    </w:p>
    <w:p>
      <w:pPr>
        <w:pStyle w:val="ListParagraph"/>
        <w:numPr>
          <w:ilvl w:val="1"/>
          <w:numId w:val="1"/>
        </w:numPr>
      </w:pPr>
      <w:r>
        <w:t xml:space="preserve">1.</w:t>
      </w:r>
      <w:r>
        <w:tab/>
      </w:r>
      <w:r>
        <w:t xml:space="preserve">any change or substantial extension of such use; and</w:t>
      </w:r>
    </w:p>
    <w:p>
      <w:pPr>
        <w:pStyle w:val="ListParagraph"/>
        <w:numPr>
          <w:ilvl w:val="1"/>
          <w:numId w:val="1"/>
        </w:numPr>
      </w:pPr>
      <w:r>
        <w:t xml:space="preserve">2.</w:t>
      </w:r>
      <w:r>
        <w:tab/>
      </w:r>
      <w:r>
        <w:t xml:space="preserve">any building or special permit issued after the first advertisement of the public hearing required under </w:t>
      </w:r>
      <w:r>
        <w:t xml:space="preserve">M.G.L. c. 40A, § 5</w:t>
      </w:r>
      <w:r>
        <w:t xml:space="preserve">; and</w:t>
      </w:r>
    </w:p>
    <w:p>
      <w:pPr>
        <w:pStyle w:val="ListParagraph"/>
        <w:numPr>
          <w:ilvl w:val="1"/>
          <w:numId w:val="1"/>
        </w:numPr>
      </w:pPr>
      <w:r>
        <w:t xml:space="preserve">3.</w:t>
      </w:r>
      <w:r>
        <w:tab/>
      </w:r>
      <w:r>
        <w:t xml:space="preserve">to any reconstruction, extension or structural change of a structure; and</w:t>
      </w:r>
    </w:p>
    <w:p>
      <w:pPr>
        <w:pStyle w:val="ListParagraph"/>
        <w:numPr>
          <w:ilvl w:val="1"/>
          <w:numId w:val="1"/>
        </w:numPr>
      </w:pPr>
      <w:r>
        <w:t xml:space="preserve">4.</w:t>
      </w:r>
      <w:r>
        <w:tab/>
      </w:r>
      <w:r>
        <w:t xml:space="preserve">to any alteration of a structure begun after the first advertisement of the public hearing required under </w:t>
      </w:r>
      <w:r>
        <w:t xml:space="preserve">M.G.L. c. 40A, §5</w:t>
      </w:r>
      <w:r>
        <w:t xml:space="preserve"> to provide for its use for a substantially different purpose or for the same purpose in a substantially different manner or to a substantially greater extent.</w:t>
      </w:r>
    </w:p>
    <w:p>
      <w:pPr>
        <w:pStyle w:val="ListParagraph"/>
        <w:numPr>
          <w:ilvl w:val="0"/>
          <w:numId w:val="1"/>
        </w:numPr>
      </w:pPr>
      <w:r>
        <w:t xml:space="preserve">B.</w:t>
      </w:r>
      <w:r>
        <w:tab/>
      </w:r>
      <w:r>
        <w:t xml:space="preserve">Provided, further, that this Ordinance, and any amendment hereto, shall not apply to:</w:t>
      </w:r>
    </w:p>
    <w:p>
      <w:pPr>
        <w:pStyle w:val="ListParagraph"/>
        <w:numPr>
          <w:ilvl w:val="1"/>
          <w:numId w:val="1"/>
        </w:numPr>
      </w:pPr>
      <w:r>
        <w:t xml:space="preserve">1.</w:t>
      </w:r>
      <w:r>
        <w:tab/>
      </w:r>
      <w:r>
        <w:t xml:space="preserve">any alteration, extension or structural change to a single or two-family residential structure where such action(s) does not increase the nonconforming nature of said structure; and</w:t>
      </w:r>
    </w:p>
    <w:p>
      <w:pPr>
        <w:pStyle w:val="ListParagraph"/>
        <w:numPr>
          <w:ilvl w:val="1"/>
          <w:numId w:val="1"/>
        </w:numPr>
      </w:pPr>
      <w:r>
        <w:t xml:space="preserve">2.</w:t>
      </w:r>
      <w:r>
        <w:tab/>
      </w:r>
      <w:r>
        <w:t xml:space="preserve">any building permit issued for the purpose of strengthening or restoring to a safe condition any building or part thereto declared unsafe by the Director of Code Enforcement.</w:t>
      </w:r>
    </w:p>
    <w:p>
      <w:pPr>
        <w:pStyle w:val="ListParagraph"/>
        <w:numPr>
          <w:ilvl w:val="0"/>
          <w:numId w:val="1"/>
        </w:numPr>
      </w:pPr>
      <w:r>
        <w:t xml:space="preserve">C.</w:t>
      </w:r>
      <w:r>
        <w:tab/>
      </w:r>
      <w:r>
        <w:t xml:space="preserve">Privileged Nonconforming Uses (Nonconforming because the activities or operations on the property are not allowed in the zoning district)</w:t>
      </w:r>
    </w:p>
    <w:p>
      <w:pPr>
        <w:pStyle w:val="ListParagraph"/>
        <w:numPr>
          <w:ilvl w:val="1"/>
          <w:numId w:val="1"/>
        </w:numPr>
      </w:pPr>
      <w:r>
        <w:t xml:space="preserve">1.</w:t>
      </w:r>
      <w:r>
        <w:tab/>
      </w:r>
      <w:r>
        <w:t xml:space="preserve">Privileged nonconforming uses may be extended, altered or changed upon the grant of a special permit by the Zoning Board of Appeals that:</w:t>
      </w:r>
    </w:p>
    <w:p>
      <w:pPr>
        <w:pStyle w:val="ListParagraph"/>
        <w:numPr>
          <w:ilvl w:val="2"/>
          <w:numId w:val="1"/>
        </w:numPr>
      </w:pPr>
      <w:r>
        <w:t xml:space="preserve">a)</w:t>
      </w:r>
      <w:r>
        <w:tab/>
      </w:r>
      <w:r>
        <w:t xml:space="preserve">the extension, alteration or change itself complies with the current requirements of this Ordinance; and</w:t>
      </w:r>
    </w:p>
    <w:p>
      <w:pPr>
        <w:pStyle w:val="ListParagraph"/>
        <w:numPr>
          <w:ilvl w:val="2"/>
          <w:numId w:val="1"/>
        </w:numPr>
      </w:pPr>
      <w:r>
        <w:t xml:space="preserve">b)</w:t>
      </w:r>
      <w:r>
        <w:tab/>
      </w:r>
      <w:r>
        <w:t xml:space="preserve">the use, as extended, altered or changed will not be substantially more detrimental to the neighborhood than the existing nonconforming use; and</w:t>
      </w:r>
    </w:p>
    <w:p>
      <w:pPr>
        <w:pStyle w:val="ListParagraph"/>
        <w:numPr>
          <w:ilvl w:val="2"/>
          <w:numId w:val="1"/>
        </w:numPr>
      </w:pPr>
      <w:r>
        <w:t xml:space="preserve">c)</w:t>
      </w:r>
      <w:r>
        <w:tab/>
      </w:r>
      <w:r>
        <w:t xml:space="preserve">in residential districts, the use as extended, altered or changed shall meet the off-street parking requirements of this Ordinance.</w:t>
      </w:r>
    </w:p>
    <w:p>
      <w:pPr>
        <w:pStyle w:val="ListParagraph"/>
        <w:numPr>
          <w:ilvl w:val="1"/>
          <w:numId w:val="1"/>
        </w:numPr>
      </w:pPr>
      <w:r>
        <w:t xml:space="preserve">2.</w:t>
      </w:r>
      <w:r>
        <w:tab/>
      </w:r>
      <w:r>
        <w:t xml:space="preserve">Notwithstanding anything to the contrary in the preceding Section-4(C)(1) a privileged nonconforming use may be changed to provide for a different nonconforming use but such change shall be limited to nonconforming uses of a similar nature and the provisions of Sections 4(C)(1) and 4(C)(3) must be satisfied, as applicable.</w:t>
      </w:r>
    </w:p>
    <w:p>
      <w:pPr>
        <w:pStyle w:val="ListParagraph"/>
        <w:numPr>
          <w:ilvl w:val="1"/>
          <w:numId w:val="1"/>
        </w:numPr>
      </w:pPr>
      <w:r>
        <w:t xml:space="preserve">3.</w:t>
      </w:r>
      <w:r>
        <w:tab/>
      </w:r>
      <w:r>
        <w:t xml:space="preserve">The change of a privileged nonconforming use to a use that is an allowed use (not specially permitted) in the zoning district is a change that is allowed as of right, provided it is not a change to a privileged nonconforming structure as well. If the locus is also a privileged nonconforming structure, the provisions of Section D, below, must be satisfied.</w:t>
      </w:r>
    </w:p>
    <w:p>
      <w:pPr>
        <w:pStyle w:val="ListParagraph"/>
        <w:numPr>
          <w:ilvl w:val="1"/>
          <w:numId w:val="1"/>
        </w:numPr>
      </w:pPr>
      <w:r>
        <w:t xml:space="preserve">4.</w:t>
      </w:r>
      <w:r>
        <w:tab/>
      </w:r>
      <w:r>
        <w:t xml:space="preserve">The change of a privileged nonconforming use to a use that is allowed in the zoning district by special permit shall require the grant of such special permit by the applicable special permit granting authority.</w:t>
      </w:r>
    </w:p>
    <w:p>
      <w:pPr>
        <w:pStyle w:val="ListParagraph"/>
        <w:numPr>
          <w:ilvl w:val="0"/>
          <w:numId w:val="1"/>
        </w:numPr>
      </w:pPr>
      <w:r>
        <w:t xml:space="preserve">D.</w:t>
      </w:r>
      <w:r>
        <w:tab/>
      </w:r>
      <w:r>
        <w:t xml:space="preserve">Privileged Nonconforming Structures (Nonconforming due to a failure to satisfy the dimensional requirements of the zoning district, including off-street parking requirements.)</w:t>
      </w:r>
    </w:p>
    <w:p>
      <w:pPr>
        <w:pStyle w:val="ListParagraph"/>
        <w:numPr>
          <w:ilvl w:val="1"/>
          <w:numId w:val="1"/>
        </w:numPr>
      </w:pPr>
      <w:r>
        <w:t xml:space="preserve">1.</w:t>
      </w:r>
      <w:r>
        <w:tab/>
      </w:r>
      <w:r>
        <w:t xml:space="preserve">Privileged nonconforming structures may be extended, altered or changed upon the grant of a special permit by the Zoning Board of Appeals that,</w:t>
      </w:r>
    </w:p>
    <w:p>
      <w:pPr>
        <w:pStyle w:val="ListParagraph"/>
        <w:numPr>
          <w:ilvl w:val="2"/>
          <w:numId w:val="1"/>
        </w:numPr>
      </w:pPr>
      <w:r>
        <w:t xml:space="preserve">a)</w:t>
      </w:r>
      <w:r>
        <w:tab/>
      </w:r>
      <w:r>
        <w:t xml:space="preserve">the extension, alteration or change itself complies with the current requirements of this Ordinance; and</w:t>
      </w:r>
    </w:p>
    <w:p>
      <w:pPr>
        <w:pStyle w:val="ListParagraph"/>
        <w:numPr>
          <w:ilvl w:val="2"/>
          <w:numId w:val="1"/>
        </w:numPr>
      </w:pPr>
      <w:r>
        <w:t xml:space="preserve">b)</w:t>
      </w:r>
      <w:r>
        <w:tab/>
      </w:r>
      <w:r>
        <w:t xml:space="preserve">the structure, as extended, altered or changed will not be substantially more detrimental to the neighborhood than the existing nonconforming structure; and</w:t>
      </w:r>
    </w:p>
    <w:p>
      <w:pPr>
        <w:pStyle w:val="ListParagraph"/>
        <w:numPr>
          <w:ilvl w:val="2"/>
          <w:numId w:val="1"/>
        </w:numPr>
      </w:pPr>
      <w:r>
        <w:t xml:space="preserve">d)</w:t>
      </w:r>
      <w:r>
        <w:tab/>
      </w:r>
      <w:r>
        <w:t xml:space="preserve">in residential districts, the continued use of the privileged nonconforming structure as extended, altered or changed shall meet the off-street parking requirements of this Ordinance.</w:t>
      </w:r>
    </w:p>
    <w:p>
      <w:pPr>
        <w:pStyle w:val="ListParagraph"/>
        <w:numPr>
          <w:ilvl w:val="0"/>
          <w:numId w:val="1"/>
        </w:numPr>
      </w:pPr>
      <w:r>
        <w:t xml:space="preserve">E.</w:t>
      </w:r>
      <w:r>
        <w:tab/>
      </w:r>
      <w:r>
        <w:t xml:space="preserve">Termination of Privilege</w:t>
      </w:r>
    </w:p>
    <w:p>
      <w:pPr>
        <w:pStyle w:val="ListParagraph"/>
        <w:numPr>
          <w:ilvl w:val="1"/>
          <w:numId w:val="1"/>
        </w:numPr>
      </w:pPr>
      <w:r>
        <w:t xml:space="preserve">1.</w:t>
      </w:r>
      <w:r>
        <w:tab/>
      </w:r>
      <w:r>
        <w:t xml:space="preserve">By Revision – If a privileged nonconforming use reverts to a use permitted in the district in which it is located, it may not be changed again to any use prohibited in the district. If a privileged nonconforming use is changed to a more restricted use, it may not be changed back to the previous use or to another nonconforming use.</w:t>
      </w:r>
    </w:p>
    <w:p>
      <w:pPr>
        <w:pStyle w:val="ListParagraph"/>
        <w:numPr>
          <w:ilvl w:val="1"/>
          <w:numId w:val="1"/>
        </w:numPr>
      </w:pPr>
      <w:r>
        <w:t xml:space="preserve">2.</w:t>
      </w:r>
      <w:r>
        <w:tab/>
      </w:r>
      <w:r>
        <w:t xml:space="preserve">By Destruction – If a privileged nonconforming use or structure is damaged or destroyed by explosion or other natural or non-natural disaster, such use or structure may be rebuilt or restored and used again as previously, provided the rebuilding or restoration is completed within two (2) years after the damage occurred. The structure as rebuilt may not be greater in volume or floor space than the original structure.</w:t>
      </w:r>
    </w:p>
    <w:p>
      <w:pPr>
        <w:pStyle w:val="ListParagraph"/>
        <w:numPr>
          <w:ilvl w:val="1"/>
          <w:numId w:val="1"/>
        </w:numPr>
      </w:pPr>
      <w:r>
        <w:t xml:space="preserve">3.</w:t>
      </w:r>
      <w:r>
        <w:tab/>
      </w:r>
      <w:r>
        <w:t xml:space="preserve">By Abandonment of Use or Structure – If a nonconforming use or structure is abandoned, it may not be rehabilitated thereafter. Unless the Director of Code Enforcement shall determine sooner, a use or structure shall be presumed abandoned if over a period of two (2) years the use and/or use of the structure has discontinued, except as to agriculture, horticulture, or floriculture where abandonment must be at least five (5) years.</w:t>
      </w:r>
    </w:p>
    <w:p>
      <w:pPr>
        <w:pStyle w:val="ListParagraph"/>
        <w:numPr>
          <w:ilvl w:val="0"/>
          <w:numId w:val="1"/>
        </w:numPr>
      </w:pPr>
      <w:r>
        <w:t xml:space="preserve">F.</w:t>
      </w:r>
      <w:r>
        <w:tab/>
      </w:r>
      <w:r>
        <w:t xml:space="preserve">Revival of the Privilege Lawful nonconforming uses or structures which have lost their privilege by reason of destruction as set forth above, may be renewed upon the grant of a special permit from the Zoning Board of Appeals. Any such revival shall be limited in scope to the extent of the nonconforming use or structure at the time of its termination.</w:t>
      </w:r>
    </w:p>
    <w:p>
      <w:pPr>
        <w:pStyle w:val="Heading2"/>
      </w:pPr>
      <w:r>
        <w:t xml:space="preserve">Article V. Site Plan Review</w:t>
      </w:r>
    </w:p>
    <w:p>
      <w:pPr>
        <w:pStyle w:val="Heading3"/>
      </w:pPr>
      <w:r>
        <w:t xml:space="preserve">§ 10. Adult Entertainment Establishments</w:t>
      </w:r>
    </w:p>
    <w:p>
      <w:pPr>
        <w:pStyle w:val="ListParagraph"/>
        <w:numPr>
          <w:ilvl w:val="0"/>
          <w:numId w:val="1"/>
        </w:numPr>
      </w:pPr>
      <w:r>
        <w:t xml:space="preserve">A.</w:t>
      </w:r>
      <w:r>
        <w:tab/>
      </w:r>
      <w:r>
        <w:t xml:space="preserve">Definitions ADULT BOOKSTORE – A establishment having as a substantial or significant portion of its stock in trade, books, magazines, and other matter which are distinguished or characterized by their emphasis depicting, describing, or relating to sexual conduct or sexual excitement as defined in G.L. c.272, §31. ADULT ENTERTAINMENT ESTABLISHMENT – An establishment or venue whereby one or more of the following uses, as defined under this ordinance, is conducted, sponsored, produced or otherwise allowed to take place upon the property: adult bookstore, adult motion picture theatre, adult establishment which displays live nudity for its patrons, adult paraphernalia store, adult video store. ADULT MOTION PICTURE THEATRE – An enclosed building used for presenting material distinguished by an emphasis on matter depicting, describing, or relating to sexual conduct or sexual excitement as defined in G.L. c.272, §31. ADULT PARAPHERNALIA STORE – An establishment having as a substantial or significant portion of its stock devices, objects, tools, or toys which are distinguished or characterized by their association with sexual activity, including sexual conduct or sexual excitement as defined in G.L. c. 272, §31. ADULT VIDEO STORE – An establishment having as a substantial or significant portion of its stock in trade, videos, movies, or other film material which are distinguished or characterized by their emphasis depicting, describing, or relating to sexual conduct or sexual excitement as defined in G.L. c. 272, §31. ESTABLISHMENT WHICH DISPLAYS LIVE NUDITY FOR ITS PATRONS – Any establishment which provides live entertainment for its patrons, which includes the display of nudity, as that term is defined in G.L. c. 272, §31.</w:t>
      </w:r>
    </w:p>
    <w:p>
      <w:pPr>
        <w:pStyle w:val="ListParagraph"/>
        <w:numPr>
          <w:ilvl w:val="0"/>
          <w:numId w:val="1"/>
        </w:numPr>
      </w:pPr>
      <w:r>
        <w:t xml:space="preserve">B.</w:t>
      </w:r>
      <w:r>
        <w:tab/>
      </w:r>
      <w:r>
        <w:t xml:space="preserve">An adult entertainment establishment may be operated only in the zoning district(s) determined by Table 4.1 and only then upon the issuance of a special permit by the Zoning Board of Appeals acting solely in accordance with the standards and procedures set forth in this section ten.</w:t>
      </w:r>
    </w:p>
    <w:p>
      <w:pPr>
        <w:pStyle w:val="ListParagraph"/>
        <w:numPr>
          <w:ilvl w:val="0"/>
          <w:numId w:val="1"/>
        </w:numPr>
      </w:pPr>
      <w:r>
        <w:t xml:space="preserve">C.</w:t>
      </w:r>
      <w:r>
        <w:tab/>
      </w:r>
      <w:r>
        <w:t xml:space="preserve">No special permit shall be granted for any adult entertainment establishment where the “point of entry” to any such building or structure containing the adult entertainment use is within five hundred linear feet of the exterior of any building or structure containing any of the following uses:</w:t>
      </w:r>
    </w:p>
    <w:p>
      <w:pPr>
        <w:pStyle w:val="ListParagraph"/>
        <w:numPr>
          <w:ilvl w:val="1"/>
          <w:numId w:val="1"/>
        </w:numPr>
      </w:pPr>
      <w:r>
        <w:t xml:space="preserve">1.</w:t>
      </w:r>
      <w:r>
        <w:tab/>
      </w:r>
      <w:r>
        <w:t xml:space="preserve">other adult entertainment establishment; or</w:t>
      </w:r>
    </w:p>
    <w:p>
      <w:pPr>
        <w:pStyle w:val="ListParagraph"/>
        <w:numPr>
          <w:ilvl w:val="1"/>
          <w:numId w:val="1"/>
        </w:numPr>
      </w:pPr>
      <w:r>
        <w:t xml:space="preserve">2.</w:t>
      </w:r>
      <w:r>
        <w:tab/>
      </w:r>
      <w:r>
        <w:t xml:space="preserve">establishment licensed under the provisions of G.L. c. 138, §12; or</w:t>
      </w:r>
    </w:p>
    <w:p>
      <w:pPr>
        <w:pStyle w:val="ListParagraph"/>
        <w:numPr>
          <w:ilvl w:val="1"/>
          <w:numId w:val="1"/>
        </w:numPr>
      </w:pPr>
      <w:r>
        <w:t xml:space="preserve">3.</w:t>
      </w:r>
      <w:r>
        <w:tab/>
      </w:r>
      <w:r>
        <w:t xml:space="preserve">a free public library; nor shall a special permit be granted for any proposed adult entertainment establishment where the “point of entry” to any such building or structure containing the adult entertainment use is within five hundred linear feet of property zoned for residential purposes unless such point of entry and the residential zone are separated by Interstate Highway290, in which case the extent of the buffer zone shall be limited by the boundary of Interstate Highway 290. For purposes of this section, “point of entry” shall mean the midpoint of any doorway where patrons of the adult entertainment will enter and exit the building or structure to contain such adult entertainment use to and from any public way, private way or off- street parking area available for use by such patrons.</w:t>
      </w:r>
    </w:p>
    <w:p>
      <w:pPr>
        <w:pStyle w:val="ListParagraph"/>
        <w:numPr>
          <w:ilvl w:val="0"/>
          <w:numId w:val="1"/>
        </w:numPr>
      </w:pPr>
      <w:r>
        <w:t xml:space="preserve">D.</w:t>
      </w:r>
      <w:r>
        <w:tab/>
      </w:r>
      <w:r>
        <w:t xml:space="preserve">No special permit shall be granted for any adult entertainment establishment owned, controlled or managed by any person convicted of violating the provisions of G.L. c. 119,</w:t>
      </w:r>
    </w:p>
    <w:p>
      <w:pPr>
        <w:pStyle w:val="Heading3"/>
      </w:pPr>
      <w:r>
        <w:t xml:space="preserve">§ 11. Bed and Breakfast Establishment</w:t>
      </w:r>
    </w:p>
    <w:p>
      <w:pPr>
        <w:pStyle w:val="ListParagraph"/>
        <w:numPr>
          <w:ilvl w:val="0"/>
          <w:numId w:val="1"/>
        </w:numPr>
      </w:pPr>
      <w:r>
        <w:t xml:space="preserve">A.</w:t>
      </w:r>
      <w:r>
        <w:tab/>
      </w:r>
      <w:r>
        <w:t xml:space="preserve">General Conditions and Requirements:</w:t>
      </w:r>
    </w:p>
    <w:p>
      <w:pPr>
        <w:pStyle w:val="ListParagraph"/>
        <w:numPr>
          <w:ilvl w:val="1"/>
          <w:numId w:val="1"/>
        </w:numPr>
      </w:pPr>
      <w:r>
        <w:t xml:space="preserve">1.</w:t>
      </w:r>
      <w:r>
        <w:tab/>
      </w:r>
      <w:r>
        <w:t xml:space="preserve">No bed and breakfast establishment shall be operated without first being granted a special permit from the Zoning Board of Appeals and a certificate of occupancy pursuant to the Massachusetts State Building Code.</w:t>
      </w:r>
    </w:p>
    <w:p>
      <w:pPr>
        <w:pStyle w:val="ListParagraph"/>
        <w:numPr>
          <w:ilvl w:val="1"/>
          <w:numId w:val="1"/>
        </w:numPr>
      </w:pPr>
      <w:r>
        <w:t xml:space="preserve">2.</w:t>
      </w:r>
      <w:r>
        <w:tab/>
      </w:r>
      <w:r>
        <w:t xml:space="preserve">Within each detached single-family dwelling issued a special permit for a bed and breakfast establishment, there may be a maximum of six (6) guestrooms that are rented as bed and breakfast units. The bed and breakfast establishment shall not occupy more than 50 percent of the gross floor area of the residence, excluding closet space, storage space, and hallways.</w:t>
      </w:r>
    </w:p>
    <w:p>
      <w:pPr>
        <w:pStyle w:val="ListParagraph"/>
        <w:numPr>
          <w:ilvl w:val="1"/>
          <w:numId w:val="1"/>
        </w:numPr>
      </w:pPr>
      <w:r>
        <w:t xml:space="preserve">3.</w:t>
      </w:r>
      <w:r>
        <w:tab/>
      </w:r>
      <w:r>
        <w:t xml:space="preserve">A special permit shall be issued only to the owner of the property and shall not be transferable. Any changes in ownership of the property shall require a new special permit.</w:t>
      </w:r>
    </w:p>
    <w:p>
      <w:pPr>
        <w:pStyle w:val="ListParagraph"/>
        <w:numPr>
          <w:ilvl w:val="1"/>
          <w:numId w:val="1"/>
        </w:numPr>
      </w:pPr>
      <w:r>
        <w:t xml:space="preserve">4.</w:t>
      </w:r>
      <w:r>
        <w:tab/>
      </w:r>
      <w:r>
        <w:t xml:space="preserve">Food for a fee may be served only to overnight guests.</w:t>
      </w:r>
    </w:p>
    <w:p>
      <w:pPr>
        <w:pStyle w:val="ListParagraph"/>
        <w:numPr>
          <w:ilvl w:val="2"/>
          <w:numId w:val="1"/>
        </w:numPr>
      </w:pPr>
      <w:r>
        <w:t xml:space="preserve">a)</w:t>
      </w:r>
      <w:r>
        <w:tab/>
      </w:r>
      <w:r>
        <w:t xml:space="preserve">Bed and breakfast establishments with three or fewer guestrooms and serving continental breakfast are not considered food establishments and need not obtain a food establishment permit. For the purpose of this section, continental breakfast is defined as: beverages; fresh, frozen, and commercially processed fruits; baked goods; cereals; homemade or commercial jams, jellies, honey, and maple syrup; cream; butter; and commercially manufactured hard cheeses, cream cheese, and yogurt.</w:t>
      </w:r>
    </w:p>
    <w:p>
      <w:pPr>
        <w:pStyle w:val="ListParagraph"/>
        <w:numPr>
          <w:ilvl w:val="2"/>
          <w:numId w:val="1"/>
        </w:numPr>
      </w:pPr>
      <w:r>
        <w:t xml:space="preserve">b)</w:t>
      </w:r>
      <w:r>
        <w:tab/>
      </w:r>
      <w:r>
        <w:t xml:space="preserve">Bed and breakfast establishments with three or fewer guestrooms and serving full breakfast shall obtain a residential kitchen permit as required by the State Sanitary Code.</w:t>
      </w:r>
    </w:p>
    <w:p>
      <w:pPr>
        <w:pStyle w:val="ListParagraph"/>
        <w:numPr>
          <w:ilvl w:val="1"/>
          <w:numId w:val="1"/>
        </w:numPr>
      </w:pPr>
      <w:r>
        <w:t xml:space="preserve">5.</w:t>
      </w:r>
      <w:r>
        <w:tab/>
      </w:r>
      <w:r>
        <w:t xml:space="preserve">Notwithstanding any provisions to the contrary in Article IV, Section-6 (Signs), signage shall be limited to one attached wall or window sign, not to exceed three</w:t>
      </w:r>
    </w:p>
    <w:p>
      <w:pPr>
        <w:pStyle w:val="ListParagraph"/>
        <w:numPr>
          <w:ilvl w:val="1"/>
          <w:numId w:val="1"/>
        </w:numPr>
      </w:pPr>
      <w:r>
        <w:t xml:space="preserve">(3)</w:t>
      </w:r>
      <w:r>
        <w:tab/>
      </w:r>
      <w:r>
        <w:t xml:space="preserve">square feet, mounted on the building and one ground sign, single- or double- faced, permanently anchored five (5) feet or less above grade, as approved by the Director of Code Enforcement, not to exceed three (3) square feet per face, not to be internally illuminated, not located so as to obstruct traffic visibility across street corners, and located no closer than five (5) feet to any lot line.</w:t>
      </w:r>
    </w:p>
    <w:p>
      <w:pPr>
        <w:pStyle w:val="ListParagraph"/>
        <w:numPr>
          <w:ilvl w:val="1"/>
          <w:numId w:val="1"/>
        </w:numPr>
      </w:pPr>
      <w:r>
        <w:t xml:space="preserve">6.</w:t>
      </w:r>
      <w:r>
        <w:tab/>
      </w:r>
      <w:r>
        <w:t xml:space="preserve">The architectural character of the dwelling shall be maintained or designed in the case of new construction as a single-family dwelling unit.</w:t>
      </w:r>
    </w:p>
    <w:p>
      <w:pPr>
        <w:pStyle w:val="ListParagraph"/>
        <w:numPr>
          <w:ilvl w:val="0"/>
          <w:numId w:val="1"/>
        </w:numPr>
      </w:pPr>
      <w:r>
        <w:t xml:space="preserve">B.</w:t>
      </w:r>
      <w:r>
        <w:tab/>
      </w:r>
      <w:r>
        <w:t xml:space="preserve">Procedures Each application for a special permit shall be accompanied by fifteen (15) copies of a site plan including the following information:</w:t>
      </w:r>
    </w:p>
    <w:p>
      <w:pPr>
        <w:pStyle w:val="ListParagraph"/>
        <w:numPr>
          <w:ilvl w:val="1"/>
          <w:numId w:val="1"/>
        </w:numPr>
      </w:pPr>
      <w:r>
        <w:t xml:space="preserve">1.</w:t>
      </w:r>
      <w:r>
        <w:tab/>
      </w:r>
      <w:r>
        <w:t xml:space="preserve">A plot plan certified by a registered engineer or registered professional land surveyor locating all existing and proposed structures and appurtenances, any changes to existing grade, and all boundary/property lines and easements.</w:t>
      </w:r>
    </w:p>
    <w:p>
      <w:pPr>
        <w:pStyle w:val="ListParagraph"/>
        <w:numPr>
          <w:ilvl w:val="1"/>
          <w:numId w:val="1"/>
        </w:numPr>
      </w:pPr>
      <w:r>
        <w:t xml:space="preserve">2.</w:t>
      </w:r>
      <w:r>
        <w:tab/>
      </w:r>
      <w:r>
        <w:t xml:space="preserve">A floor plan, drawn to scale, of the single-family dwelling showing each of the bed and breakfast guestrooms and the access to, and egress from, each such guestrooms and each guestroom’s relationship to an adequate bathroom. The area(s) where breakfast is to be prepared and served shall be designated.</w:t>
      </w:r>
    </w:p>
    <w:p>
      <w:pPr>
        <w:pStyle w:val="ListParagraph"/>
        <w:numPr>
          <w:ilvl w:val="1"/>
          <w:numId w:val="1"/>
        </w:numPr>
      </w:pPr>
      <w:r>
        <w:t xml:space="preserve">3.</w:t>
      </w:r>
      <w:r>
        <w:tab/>
      </w:r>
      <w:r>
        <w:t xml:space="preserve">An off-street parking plan showing that one off-street parking space per bed and breakfast guestroom, in addition to the number of parking spaces required for the existing dwelling, shall be provided without causing undue burden on the neighborhood. Off-street parking shall be prohibited from the prescribed building front yard and restricted to the sides and rear of the premises.</w:t>
      </w:r>
    </w:p>
    <w:p>
      <w:pPr>
        <w:pStyle w:val="ListParagraph"/>
        <w:numPr>
          <w:ilvl w:val="1"/>
          <w:numId w:val="1"/>
        </w:numPr>
      </w:pPr>
      <w:r>
        <w:t xml:space="preserve">4.</w:t>
      </w:r>
      <w:r>
        <w:tab/>
      </w:r>
      <w:r>
        <w:t xml:space="preserve">A presentation of all proposed exterior structural changes sufficient to show that the architectural character of the dwelling is maintained as a single- family dwelling unit.</w:t>
      </w:r>
    </w:p>
    <w:p>
      <w:pPr>
        <w:pStyle w:val="ListParagraph"/>
        <w:numPr>
          <w:ilvl w:val="0"/>
          <w:numId w:val="1"/>
        </w:numPr>
      </w:pPr>
      <w:r>
        <w:t xml:space="preserve">C.</w:t>
      </w:r>
      <w:r>
        <w:tab/>
      </w:r>
      <w:r>
        <w:t xml:space="preserve">Review Standards In addition to its special permit review criteria under Article II, the Zoning Board of Appeals shall also consider the bed and breakfast establishment’s conformance with the following planning and design objectives:</w:t>
      </w:r>
    </w:p>
    <w:p>
      <w:pPr>
        <w:pStyle w:val="ListParagraph"/>
        <w:numPr>
          <w:ilvl w:val="1"/>
          <w:numId w:val="1"/>
        </w:numPr>
      </w:pPr>
      <w:r>
        <w:t xml:space="preserve">1.</w:t>
      </w:r>
      <w:r>
        <w:tab/>
      </w:r>
      <w:r>
        <w:t xml:space="preserve">The relationship of the proposal to other planning considerations of the area and the city of Worcester as a whole, including the plans, programs, and policies of other departments and agencies of the government:</w:t>
      </w:r>
    </w:p>
    <w:p>
      <w:pPr>
        <w:pStyle w:val="ListParagraph"/>
        <w:numPr>
          <w:ilvl w:val="1"/>
          <w:numId w:val="1"/>
        </w:numPr>
      </w:pPr>
      <w:r>
        <w:t xml:space="preserve">2.</w:t>
      </w:r>
      <w:r>
        <w:tab/>
      </w:r>
      <w:r>
        <w:t xml:space="preserve">The proposed site plot plan, including the relationship of different uses on the site and any other matters that are within the Zoning Board of Appeals’ jurisdiction;</w:t>
      </w:r>
    </w:p>
    <w:p>
      <w:pPr>
        <w:pStyle w:val="ListParagraph"/>
        <w:numPr>
          <w:ilvl w:val="1"/>
          <w:numId w:val="1"/>
        </w:numPr>
      </w:pPr>
      <w:r>
        <w:t xml:space="preserve">3.</w:t>
      </w:r>
      <w:r>
        <w:tab/>
      </w:r>
      <w:r>
        <w:t xml:space="preserve">The location and design of vehicular access and parking facilities;</w:t>
      </w:r>
    </w:p>
    <w:p>
      <w:pPr>
        <w:pStyle w:val="ListParagraph"/>
        <w:numPr>
          <w:ilvl w:val="1"/>
          <w:numId w:val="1"/>
        </w:numPr>
      </w:pPr>
      <w:r>
        <w:t xml:space="preserve">4.</w:t>
      </w:r>
      <w:r>
        <w:tab/>
      </w:r>
      <w:r>
        <w:t xml:space="preserve">The number of parking and loading facilities;</w:t>
      </w:r>
    </w:p>
    <w:p>
      <w:pPr>
        <w:pStyle w:val="ListParagraph"/>
        <w:numPr>
          <w:ilvl w:val="1"/>
          <w:numId w:val="1"/>
        </w:numPr>
      </w:pPr>
      <w:r>
        <w:t xml:space="preserve">5.</w:t>
      </w:r>
      <w:r>
        <w:tab/>
      </w:r>
      <w:r>
        <w:t xml:space="preserve">The impact of outdoor lighting.</w:t>
      </w:r>
    </w:p>
    <w:p>
      <w:pPr>
        <w:pStyle w:val="Heading3"/>
      </w:pPr>
      <w:r>
        <w:t xml:space="preserve">§ 12. Personal Wireless Service Facilities</w:t>
      </w:r>
    </w:p>
    <w:p>
      <w:pPr>
        <w:pStyle w:val="ListParagraph"/>
        <w:numPr>
          <w:ilvl w:val="0"/>
          <w:numId w:val="1"/>
        </w:numPr>
      </w:pPr>
      <w:r>
        <w:t xml:space="preserve">A.</w:t>
      </w:r>
      <w:r>
        <w:tab/>
      </w:r>
      <w:r>
        <w:t xml:space="preserve">Purpose and Intent It is the express purpose of this Ordinance to minimize the adverse visual impacts of Personal Wireless Service Facilities, to avoid damage to adjacent properties, to lessen impacts on surrounding properties, to lessen traffic impacts, to minimize use of towers, to reduce the number constructed and to limit emissions in order to minimize potential adverse effects on human and animal health. This ordinance is intended to be used in conjunction with other regulations adopted by the city of Worcester, including historic district regulations, site plan review, and other local ordinances designed to encourage appropriate land use, environmental protection, and provision of adequate infrastructure development in the city of Worcester. The regulation of Personal Wireless Service Facilities is consistent with the authorization of the City of Worcester Zoning Ordinance to regulate uses in harmony with the general purpose and intent of the Ordinance.</w:t>
      </w:r>
    </w:p>
    <w:p>
      <w:pPr>
        <w:pStyle w:val="ListParagraph"/>
        <w:numPr>
          <w:ilvl w:val="0"/>
          <w:numId w:val="1"/>
        </w:numPr>
      </w:pPr>
      <w:r>
        <w:t xml:space="preserve">B.</w:t>
      </w:r>
      <w:r>
        <w:tab/>
      </w:r>
      <w:r>
        <w:t xml:space="preserve">Definitions ABOVE GROUND LEVEL (AGL) – A measurement of height from the natural grade of a site to the highest point of a structure. ANTENNA, WIRELESS - The surface from which wireless signals are sent and received by a Personal Wireless Service Facility. CAMOUFLAGED – Within the context of a Personal Wireless Service Facility, such a facility that is disguised, hidden, part of an existing or proposed structure or placed within an existing or proposed structure. CARRIER – A company that provides wireless services. CO-LOCATION – The use of a single mount on the ground by more than one carrier (vertical co-location) and/or several mounts on an existing building or structure by more than one carrier. CROSS-POLARIZED (or DUAL-POLARIZED) ANTENNA – A low mount that has three panels flush mounted or attached very close to the shaft. ELEVATION – The measurement of height above sea level. ENVIRONMENTAL ASSESSMENT (EA) – An EA is the document required by the Federal Communications Commission (FCC) and the National Environmental Policy Act (NEPA) when a Personal Wireless Service Facility is placed in certain designated areas. EQUIPMENT SHELTER – An enclosed structure, cabinet, shed, or box, at the base of a mount within which are housed batteries and electrical equipment. FALL ZONE – The area on the ground within a prescribed radius from the base of a Personal Wireless Service Facility. The fall zone is the area within which there is a potential hazard from falling debris (such as ice) or collapsing material. FUNCTIONALLY EQUIVALENT SERVICES – Cellular, Personal Communication Services (PCS), Enhanced Specialized Mobile Radio, Specialized Mobile Radio and Paging. GUYED TOWER – A monopole or lattice tower that is tied to the ground or other surface by diagonal cables. LATTICE TOWER – A type of mount that is self-supporting with multiple legs and cross-bracing of structural steel. LICENSED CARRIER – A company authorized by the FCC to construct and operate a commercial mobile radio services system. MONOPOLE – The type of mount that is self-supporting with a single shaft of wood, steel, or concrete and a platform (or racks) for panel antennas arrayed at the top. MOUNT – The structure or surface upon which antennas are mounted, including the following five (5) types of mounts.</w:t>
      </w:r>
    </w:p>
    <w:p>
      <w:pPr>
        <w:pStyle w:val="ListParagraph"/>
        <w:numPr>
          <w:ilvl w:val="1"/>
          <w:numId w:val="1"/>
        </w:numPr>
      </w:pPr>
      <w:r>
        <w:t xml:space="preserve">1.</w:t>
      </w:r>
      <w:r>
        <w:tab/>
      </w:r>
      <w:r>
        <w:t xml:space="preserve">Roof-mounted: Mounted on the roof of a building.</w:t>
      </w:r>
    </w:p>
    <w:p>
      <w:pPr>
        <w:pStyle w:val="ListParagraph"/>
        <w:numPr>
          <w:ilvl w:val="1"/>
          <w:numId w:val="1"/>
        </w:numPr>
      </w:pPr>
      <w:r>
        <w:t xml:space="preserve">2.</w:t>
      </w:r>
      <w:r>
        <w:tab/>
      </w:r>
      <w:r>
        <w:t xml:space="preserve">Side-mounted: Mounted on the side of a building.</w:t>
      </w:r>
    </w:p>
    <w:p>
      <w:pPr>
        <w:pStyle w:val="ListParagraph"/>
        <w:numPr>
          <w:ilvl w:val="1"/>
          <w:numId w:val="1"/>
        </w:numPr>
      </w:pPr>
      <w:r>
        <w:t xml:space="preserve">3.</w:t>
      </w:r>
      <w:r>
        <w:tab/>
      </w:r>
      <w:r>
        <w:t xml:space="preserve">Ground-mounted: Mounted on the ground.</w:t>
      </w:r>
    </w:p>
    <w:p>
      <w:pPr>
        <w:pStyle w:val="ListParagraph"/>
        <w:numPr>
          <w:ilvl w:val="1"/>
          <w:numId w:val="1"/>
        </w:numPr>
      </w:pPr>
      <w:r>
        <w:t xml:space="preserve">4.</w:t>
      </w:r>
      <w:r>
        <w:tab/>
      </w:r>
      <w:r>
        <w:t xml:space="preserve">Structure-mounted: Mounted on a structure other than a building.</w:t>
      </w:r>
    </w:p>
    <w:p>
      <w:pPr>
        <w:pStyle w:val="ListParagraph"/>
        <w:numPr>
          <w:ilvl w:val="1"/>
          <w:numId w:val="1"/>
        </w:numPr>
      </w:pPr>
      <w:r>
        <w:t xml:space="preserve">5.</w:t>
      </w:r>
      <w:r>
        <w:tab/>
      </w:r>
      <w:r>
        <w:t xml:space="preserve">Interior-mounted: Mounted within a building such that the Personal Wireless Service Facility is not visible from the exterior of the building/structure. OMNIDIRECTIONAL (WHIP) ANTENNA – A thin rod that beams and receives a signal in all directions. PANEL ANTENNA – A flat surface antenna usually developed in multiples. PERSONAL WIRELESS SERVICE FACILITY – Facility for the provision of personal wireless services. PERSONAL WIRELESS SERVICES – Commercial mobile services, unlicensed wireless services, and common carrier wireless exchange access services [47 U.S.C.</w:t>
      </w:r>
    </w:p>
    <w:p>
      <w:pPr>
        <w:pStyle w:val="Heading3"/>
      </w:pPr>
      <w:r>
        <w:t xml:space="preserve">§ 7. Off-Street Parking and Loading</w:t>
      </w:r>
    </w:p>
    <w:p>
      <w:pPr>
        <w:pStyle w:val="ListParagraph"/>
        <w:numPr>
          <w:ilvl w:val="0"/>
          <w:numId w:val="1"/>
        </w:numPr>
      </w:pPr>
      <w:r>
        <w:t xml:space="preserve">A.</w:t>
      </w:r>
      <w:r>
        <w:tab/>
      </w:r>
      <w:r>
        <w:t xml:space="preserve">General Provisions for Off-Street Accessory Parking and Loading</w:t>
      </w:r>
    </w:p>
    <w:p>
      <w:pPr>
        <w:pStyle w:val="ListParagraph"/>
        <w:numPr>
          <w:ilvl w:val="1"/>
          <w:numId w:val="1"/>
        </w:numPr>
      </w:pPr>
      <w:r>
        <w:t xml:space="preserve">1.</w:t>
      </w:r>
      <w:r>
        <w:tab/>
      </w:r>
      <w:r>
        <w:t xml:space="preserve">Application It is the intent of this Ordinance that all new buildings and land uses be provided with sufficient space located off-street for:</w:t>
      </w:r>
    </w:p>
    <w:p>
      <w:pPr>
        <w:pStyle w:val="ListParagraph"/>
        <w:numPr>
          <w:ilvl w:val="2"/>
          <w:numId w:val="1"/>
        </w:numPr>
      </w:pPr>
      <w:r>
        <w:t xml:space="preserve">a)</w:t>
      </w:r>
      <w:r>
        <w:tab/>
      </w:r>
      <w:r>
        <w:t xml:space="preserve">the accessory parking of motor vehicles, and</w:t>
      </w:r>
    </w:p>
    <w:p>
      <w:pPr>
        <w:pStyle w:val="ListParagraph"/>
        <w:numPr>
          <w:ilvl w:val="2"/>
          <w:numId w:val="1"/>
        </w:numPr>
      </w:pPr>
      <w:r>
        <w:t xml:space="preserve">b)</w:t>
      </w:r>
      <w:r>
        <w:tab/>
      </w:r>
      <w:r>
        <w:t xml:space="preserve">the standing, loading and unloading of motor carriers, to meet the needs of persons employed at or otherwise making use of such building or land under normal conditions.</w:t>
      </w:r>
    </w:p>
    <w:p>
      <w:pPr>
        <w:ind w:left="1470"/>
      </w:pPr>
      <w:r>
        <w:t xml:space="preserve">Any application for a permit for the erection of a new building, or for an alteration or change of use of an existing building that provides additional accommodations, or for the development of a land use that requires parking, or the modification of an existing parking area or structure, shall include a plan for parking and loading for the new or expanded facilities or areas in accordance with this Article. Where a building or land area is used by two (2) or more categories of uses as defined above, the off-street parking and loading facilities required shall not be less than the sum of the requirements for the individual uses computed separately. Notwithstanding anything above to the contrary, in all IN-S Zones, the educational institution’s off-street parking requirements shall be calculated solely upon classroom and dormitory uses. Buildings and land uses legally in existence on the effective date of this Ordinance are not subject to these off-street parking and loading requirements, provided that any parking or loading facilities now serving such buildings or uses may not in the future be reduced below these requirements. All existing parking lots are exempt from Parking Plan Approval provided that upon a change, alteration or expansion of the use it serves, it will continue to be utilized in its existing condition with no physical alterations except for changes in circulation and/or striping, and provided the number of parking spaces satisfies the requirements of Table 4.4. Additions to existing buildings and land uses are subject to these off-street parking and loading requirements. If existing parking or loading spaces exceed the requirements of this Ordinance, any excess shall be applied to the requirements for additions. If existing parking or loading spaces are less than the requirements of this Ordinance, only the requirements for any such additions need to be fulfilled with additional spaces. Common driveways may be used to serve both parking and loading spaces, but no part of a designated loading space may be extended into a designated parking space or into a common driveway.</w:t>
      </w:r>
    </w:p>
    <w:p>
      <w:pPr>
        <w:pStyle w:val="ListParagraph"/>
        <w:numPr>
          <w:ilvl w:val="1"/>
          <w:numId w:val="1"/>
        </w:numPr>
      </w:pPr>
      <w:r>
        <w:t xml:space="preserve">2.</w:t>
      </w:r>
      <w:r>
        <w:tab/>
      </w:r>
      <w:r>
        <w:t xml:space="preserve">Jurisdiction The Zoning Board of Appeals, by special permit, shall have the authority to modify the parking dimensional and layout requirements specified in Table 4.4 Notes 2(b), 3 and 5; the loading requirements specified in Table 4.5; and, the number of required parking spaces specified in Table 4.4, up to one (1) parking space, or a maximum of ten percent (10%), whichever is greater, where it is demonstrated that with such modification there will be adequate space for off-street parking and/or loading to provide for the needs of the subject building or use. The Planning Board shall be the approving authority for parking lots with 16 or more spaces. Such approval shall be required prior to the issuance of the building permit. The Planning Board shall examine said parking plans with respect to access, drainage, capacity, circulation, compatibility, safety to pedestrians and vehicles using the facilities and using abutting streets and shall integrate such considerations into the review process. Any projects that have received approval under the site plan review procedures, Article V, shall be deemed to have received parking lot approval under this Article. Parking plans and loading plans submitted for approval should identify elevations and contours of the finished site, existing rights of way, entrances and exits, driveways, aisles, parking spaces, loading spaces, circulation, capacity, drainage, lighting, berms, curbing, fences, walkways, landscaped areas and other design features. The procedures provided in Article V, including those for administration, fees, powers, hearing, and time limits shall apply to approvals by the Planning Board for parking lots under its jurisdiction. The Director of Code Enforcement shall be responsible for the enforcement of the Planning Board approval to ensure that the parking lot is constructed and maintained in accordance with that approval. Lots shall be re-examined periodically commensurate with the certificate of inspection (as required by the State Building Code) or not less than once every two (2) years where a certificate of inspection is not required.</w:t>
      </w:r>
    </w:p>
    <w:p>
      <w:pPr>
        <w:pStyle w:val="ListParagraph"/>
        <w:numPr>
          <w:ilvl w:val="1"/>
          <w:numId w:val="1"/>
        </w:numPr>
      </w:pPr>
      <w:r>
        <w:t xml:space="preserve">3.</w:t>
      </w:r>
      <w:r>
        <w:tab/>
      </w:r>
      <w:r>
        <w:t xml:space="preserve">Design Standards In review of a plan with respect to parking and/or loading plan, the Planning Board shall review the plan in respect to access, drainage, including detention/retention ponds, capacity, circulation, safety to pedestrians and vehicles using the facility and the abutting streets, finished grades, lighting, berms, curbing, fencing, walkways and landscaping. All off-street parking and loading facilities shall be provided with adequate vehicular access. Backing directly onto a street shall be prohibited except for single, two, and three family residences. Adequate ingress and egress to the parking facilities by means of clearly limited and defined drives shall be provided for all vehicles. Said access should be limited to well defined locations away from street intersections, and in no case shall there be unrestricted access along the length of a street. Parking and loading areas shall be arranged for convenient access, egress and safety to pedestrians and vehicles. All lighting used to illuminate any off-street parking or loading facility shall be installed so that direct rays from such lighting shall not cause a public nuisance to adjacent property. All off-street parking and loading facilities shall be maintained by the owner or operator in good repair, neat orderly in appearance and free from refuse and debris. Storage of snow in parking or loading facilities shall be arranged so as not to unduly reduce sight distances and visibility at entrances and exits and aisle intersections.</w:t>
      </w:r>
    </w:p>
    <w:p>
      <w:pPr>
        <w:pStyle w:val="ListParagraph"/>
        <w:numPr>
          <w:ilvl w:val="1"/>
          <w:numId w:val="1"/>
        </w:numPr>
      </w:pPr>
      <w:r>
        <w:t xml:space="preserve">4.</w:t>
      </w:r>
      <w:r>
        <w:tab/>
      </w:r>
      <w:r>
        <w:t xml:space="preserve">Decisions The Planning Board shall act on applications for projects not otherwise subject to site plan approval under Article V within sixty-five (65) days of filing, unless a time extension is mutually agreed to by an applicant and the Planning Board.</w:t>
      </w:r>
    </w:p>
    <w:p>
      <w:pPr>
        <w:pStyle w:val="ListParagraph"/>
        <w:numPr>
          <w:ilvl w:val="1"/>
          <w:numId w:val="1"/>
        </w:numPr>
      </w:pPr>
      <w:r>
        <w:t xml:space="preserve">5.</w:t>
      </w:r>
      <w:r>
        <w:tab/>
      </w:r>
      <w:r>
        <w:t xml:space="preserve">Off-Street Parking Off-street parking spaces are to be provided according to the units of measurement as shown in Table 4.4 except as otherwise provided in this Ordinance. Multiple uses require space calculations for each applicable use. Capacities and areas include outdoor use where applicable. In computing required spaces, any fraction thereto shall require a full parking space. Utility, energy, corridor, stairway, restroom, and building maintenance areas are exempt from space assignment.</w:t>
      </w:r>
    </w:p>
    <w:p>
      <w:pPr>
        <w:pStyle w:val="ListParagraph"/>
        <w:numPr>
          <w:ilvl w:val="1"/>
          <w:numId w:val="1"/>
        </w:numPr>
      </w:pPr>
      <w:r>
        <w:t xml:space="preserve">6.</w:t>
      </w:r>
      <w:r>
        <w:tab/>
      </w:r>
      <w:r>
        <w:t xml:space="preserve">Off-street Loading Off-street loading is to be provided for Business, Manufacturing, Institutional and high-rise Residential uses according to the units of measurement as shown in Table</w:t>
      </w:r>
    </w:p>
    <w:p>
      <w:pPr>
        <w:pStyle w:val="ListParagraph"/>
        <w:numPr>
          <w:ilvl w:val="0"/>
          <w:numId w:val="1"/>
        </w:numPr>
      </w:pPr>
      <w:r>
        <w:t xml:space="preserve">4.5.</w:t>
      </w:r>
      <w:r>
        <w:tab/>
      </w:r>
      <w:r>
        <w:t xml:space="preserve">Loading spaces shall not conflict with the area used for parking.</w:t>
      </w:r>
    </w:p>
    <w:p>
      <w:pPr>
        <w:pStyle w:val="ListParagraph"/>
        <w:numPr>
          <w:ilvl w:val="1"/>
          <w:numId w:val="1"/>
        </w:numPr>
      </w:pPr>
      <w:r>
        <w:t xml:space="preserve">7.</w:t>
      </w:r>
      <w:r>
        <w:tab/>
      </w:r>
      <w:r>
        <w:t xml:space="preserve">Drive-through Service</w:t>
      </w:r>
    </w:p>
    <w:p>
      <w:pPr>
        <w:pStyle w:val="ListParagraph"/>
        <w:numPr>
          <w:ilvl w:val="2"/>
          <w:numId w:val="1"/>
        </w:numPr>
      </w:pPr>
      <w:r>
        <w:t xml:space="preserve">a)</w:t>
      </w:r>
      <w:r>
        <w:tab/>
      </w:r>
      <w:r>
        <w:t xml:space="preserve">All buildings and uses that provide drive-through service shall provide at least one escape lane adjacent to the drive-through service lane(s). The escape lane shall be designed to allow vehicles to exit and bypass the drive- through service lane(s). The length of the escape lane must be no less than the length of the adjacent drive-through service lane. The length of a drive- through service lane shall be determined by measuring the linear distance from the point of the lane’s beginning to the point of service.</w:t>
      </w:r>
    </w:p>
    <w:p>
      <w:pPr>
        <w:pStyle w:val="ListParagraph"/>
        <w:numPr>
          <w:ilvl w:val="2"/>
          <w:numId w:val="1"/>
        </w:numPr>
      </w:pPr>
      <w:r>
        <w:t xml:space="preserve">b)</w:t>
      </w:r>
      <w:r>
        <w:tab/>
      </w:r>
      <w:r>
        <w:t xml:space="preserve">Drive-through and escape lanes shall have a minimum width of ten (10) feet for their entire length. Notwithstanding the foregoing, the Special Permit Granting Authority (if a Special Permit is required), or the Planning Board in reviewing a site plan or parking plan, as the case may be, may require drive-through and escape lanes to have a width of up to twelve (12) feet along curved sections.</w:t>
      </w:r>
    </w:p>
    <w:p>
      <w:pPr>
        <w:pStyle w:val="ListParagraph"/>
        <w:numPr>
          <w:ilvl w:val="2"/>
          <w:numId w:val="1"/>
        </w:numPr>
      </w:pPr>
      <w:r>
        <w:t xml:space="preserve">c)</w:t>
      </w:r>
      <w:r>
        <w:tab/>
      </w:r>
      <w:r>
        <w:t xml:space="preserve">Drive-through and escape lanes shall comply with the following minimum length requirements to assure sufficient vehicle stacking: USE DRIVE-THROUGH SERVICE LANE AND ESCAPE LANE MINIMUM LENGTH Fast Food /Restaurant / Coffee Shop Two Hundred Forty linear feet (240) Bank /Credit Union / ATM One Hundred Eighty linear feet (180) Pharmacy / Convenience Store One Hundred Twenty linear feet (120) Dry Cleaner / Laundry Eighty linear feet (80)</w:t>
      </w:r>
    </w:p>
    <w:p>
      <w:pPr>
        <w:pStyle w:val="ListParagraph"/>
        <w:numPr>
          <w:ilvl w:val="2"/>
          <w:numId w:val="1"/>
        </w:numPr>
      </w:pPr>
      <w:r>
        <w:t xml:space="preserve">f)</w:t>
      </w:r>
      <w:r>
        <w:tab/>
      </w:r>
      <w:r>
        <w:t xml:space="preserve">Drive-through and escape lanes must be laid out such that they do not interfere with the internal traffic circulation of parking lots and so as not to block access to, or egress from, parking spaces.</w:t>
      </w:r>
    </w:p>
    <w:p>
      <w:pPr>
        <w:pStyle w:val="ListParagraph"/>
        <w:numPr>
          <w:ilvl w:val="3"/>
          <w:numId w:val="1"/>
        </w:numPr>
      </w:pPr>
      <w:r>
        <w:t xml:space="preserve">B.</w:t>
      </w:r>
      <w:r>
        <w:tab/>
      </w:r>
      <w:r>
        <w:t xml:space="preserve">General Provisions for Off-Street Non-accessory Parking and Display Lots</w:t>
      </w:r>
    </w:p>
    <w:p>
      <w:pPr>
        <w:pStyle w:val="ListParagraph"/>
        <w:numPr>
          <w:ilvl w:val="1"/>
          <w:numId w:val="1"/>
        </w:numPr>
      </w:pPr>
      <w:r>
        <w:t xml:space="preserve">1.</w:t>
      </w:r>
      <w:r>
        <w:tab/>
      </w:r>
      <w:r>
        <w:t xml:space="preserve">Prior to any construction, reconstruction, alteration or extension of a non-accessory parking lot or display lot, a plan thereof shall be reviewed for compliance with the requirements of this ordinance. Plans of non-accessory parking lots or display lots containing nine (9) or more total spaces shall be reviewed and approved by the Planning Board.</w:t>
      </w:r>
    </w:p>
    <w:p>
      <w:pPr>
        <w:pStyle w:val="ListParagraph"/>
        <w:numPr>
          <w:ilvl w:val="1"/>
          <w:numId w:val="1"/>
        </w:numPr>
      </w:pPr>
      <w:r>
        <w:t xml:space="preserve">2.</w:t>
      </w:r>
      <w:r>
        <w:tab/>
      </w:r>
      <w:r>
        <w:t xml:space="preserve">The Planning Board shall examine non-accessory parking lot plans and display lot plans with respect to the following:</w:t>
      </w:r>
    </w:p>
    <w:p>
      <w:pPr>
        <w:pStyle w:val="ListParagraph"/>
        <w:numPr>
          <w:ilvl w:val="2"/>
          <w:numId w:val="1"/>
        </w:numPr>
      </w:pPr>
      <w:r>
        <w:t xml:space="preserve">a)</w:t>
      </w:r>
      <w:r>
        <w:tab/>
      </w:r>
      <w:r>
        <w:t xml:space="preserve">Ingress and egress for those areas of parking or display which have direct access onto an abutting street. Except as may be pre-existing on the effective date of this provision, no such access drive shall be located within fifty feet of street intersections. Access drives shall be clearly limited and defined, and in no case shall there be unrestricted access along the length of street.</w:t>
      </w:r>
    </w:p>
    <w:p>
      <w:pPr>
        <w:pStyle w:val="ListParagraph"/>
        <w:numPr>
          <w:ilvl w:val="2"/>
          <w:numId w:val="1"/>
        </w:numPr>
      </w:pPr>
      <w:r>
        <w:t xml:space="preserve">b)</w:t>
      </w:r>
      <w:r>
        <w:tab/>
      </w:r>
      <w:r>
        <w:t xml:space="preserve">All lighting used to illuminate the non-accessory parking lot or display lot shall be installed so as to direct the light away from any abutting streets and away from adjoining property used for residential purposes. The maximum spillover illumination to adjacent properties used for residential purposes shall be 1.0 foot-candle.</w:t>
      </w:r>
    </w:p>
    <w:p>
      <w:pPr>
        <w:pStyle w:val="ListParagraph"/>
        <w:numPr>
          <w:ilvl w:val="2"/>
          <w:numId w:val="1"/>
        </w:numPr>
      </w:pPr>
      <w:r>
        <w:t xml:space="preserve">c)</w:t>
      </w:r>
      <w:r>
        <w:tab/>
      </w:r>
      <w:r>
        <w:t xml:space="preserve">Where customer vehicular traffic will integrate with and pass through the display lot, the Planning Board shall review the adequacy of the layout for circulation, compatibility with non-display lot areas, safety to pedestrians and vehicles using the facilities and abutting streets and, shall integrate such considerations into the review process. Where any required off-street parking and loading areas are included in the area for the display lot, such parking and loading areas shall comply with Article IV, Section-7(A)(1).</w:t>
      </w:r>
    </w:p>
    <w:p>
      <w:pPr>
        <w:pStyle w:val="ListParagraph"/>
        <w:numPr>
          <w:ilvl w:val="2"/>
          <w:numId w:val="1"/>
        </w:numPr>
      </w:pPr>
      <w:r>
        <w:t xml:space="preserve">d)</w:t>
      </w:r>
      <w:r>
        <w:tab/>
      </w:r>
      <w:r>
        <w:t xml:space="preserve">The non-accessory parking lot or display lot shall provide adequate grading and drainage so that surface runoff is properly disposed of and does not increase run-off onto abutting street or properties. Unless otherwise waived by the Planning Board, the non-accessory parking lot or display lot shall be surfaced with bituminous cement or concrete material. Where applicable, the Planning Board may require the installation of berm or bumpers at the edge of the surfaced area to protect abutting properties, streets, or landscaped areas.</w:t>
      </w:r>
    </w:p>
    <w:p>
      <w:pPr>
        <w:pStyle w:val="ListParagraph"/>
        <w:numPr>
          <w:ilvl w:val="2"/>
          <w:numId w:val="1"/>
        </w:numPr>
      </w:pPr>
      <w:r>
        <w:t xml:space="preserve">e)</w:t>
      </w:r>
      <w:r>
        <w:tab/>
      </w:r>
      <w:r>
        <w:t xml:space="preserve">Non-accessory parking lots and display lots shall be set back a minimum of five (5) feet from property lines. Such setback areas shall be appropriately landscaped, however, while no interior landscaping of display lots is required, the Planning Board may require installation of screening materials such as fencing, shrubbery, walls or a combination of such devices as a visual buffer to adjoining properties.</w:t>
      </w:r>
    </w:p>
    <w:p>
      <w:pPr>
        <w:pStyle w:val="ListParagraph"/>
        <w:numPr>
          <w:ilvl w:val="1"/>
          <w:numId w:val="1"/>
        </w:numPr>
      </w:pPr>
      <w:r>
        <w:t xml:space="preserve">3.</w:t>
      </w:r>
      <w:r>
        <w:tab/>
      </w:r>
      <w:r>
        <w:t xml:space="preserve">Display lot plans and non-accessory parking lot plans submitted for approval shall be prepared by a Professional Engineer, unless this requirement is waived by the Planning Board. The Planning Board shall adopt reasonable rules and regulations governing the submission, form and content of display lot plans and non-accessory parking lot plans.</w:t>
      </w:r>
    </w:p>
    <w:p>
      <w:pPr>
        <w:pStyle w:val="ListParagraph"/>
        <w:numPr>
          <w:ilvl w:val="1"/>
          <w:numId w:val="1"/>
        </w:numPr>
      </w:pPr>
      <w:r>
        <w:t xml:space="preserve">4.</w:t>
      </w:r>
      <w:r>
        <w:tab/>
      </w:r>
      <w:r>
        <w:t xml:space="preserve">Whenever a project involving the construction, reconstruction, alteration or expansion of a display lot otherwise requires Site Plan Review under Article V of this ordinance, such review shall incorporate the requirements of this subsection, and approval under Article V shall be deemed approval hereunder as well.</w:t>
      </w:r>
    </w:p>
    <w:p>
      <w:pPr>
        <w:pStyle w:val="ListParagraph"/>
        <w:numPr>
          <w:ilvl w:val="1"/>
          <w:numId w:val="1"/>
        </w:numPr>
      </w:pPr>
      <w:r>
        <w:t xml:space="preserve">5.</w:t>
      </w:r>
      <w:r>
        <w:tab/>
      </w:r>
      <w:r>
        <w:t xml:space="preserve">Where a project requires review and approval under both Subsections A and B of Article IV, Section-7, only one filing shall be made and only one fee shall be assessed.</w:t>
      </w:r>
    </w:p>
    <w:p>
      <w:pPr>
        <w:pStyle w:val="ListParagraph"/>
        <w:numPr>
          <w:ilvl w:val="1"/>
          <w:numId w:val="1"/>
        </w:numPr>
      </w:pPr>
      <w:r>
        <w:t xml:space="preserve">6.</w:t>
      </w:r>
      <w:r>
        <w:tab/>
      </w:r>
      <w:r>
        <w:t xml:space="preserve">The Planning Board shall act on applications hereunder, not otherwise subject to</w:t>
      </w:r>
    </w:p>
    <w:p>
      <w:pPr>
        <w:pStyle w:val="Heading3"/>
      </w:pPr>
      <w:r>
        <w:t xml:space="preserve">§ 8. Accessory Uses</w:t>
      </w:r>
    </w:p>
    <w:p>
      <w:pPr>
        <w:pStyle w:val="ListParagraph"/>
        <w:numPr>
          <w:ilvl w:val="0"/>
          <w:numId w:val="1"/>
        </w:numPr>
      </w:pPr>
      <w:r>
        <w:t xml:space="preserve">A.</w:t>
      </w:r>
      <w:r>
        <w:tab/>
      </w:r>
      <w:r>
        <w:t xml:space="preserve">General Rule</w:t>
      </w:r>
    </w:p>
    <w:p>
      <w:pPr>
        <w:pStyle w:val="ListParagraph"/>
        <w:numPr>
          <w:ilvl w:val="1"/>
          <w:numId w:val="1"/>
        </w:numPr>
      </w:pPr>
      <w:r>
        <w:t xml:space="preserve">1.</w:t>
      </w:r>
      <w:r>
        <w:tab/>
      </w:r>
      <w:r>
        <w:t xml:space="preserve">A land use not otherwise allowed as a predominant or main use in the zoning district under the applicable use regulations of this ordinance shall be allowed as an accessory use, provided:</w:t>
      </w:r>
    </w:p>
    <w:p>
      <w:pPr>
        <w:pStyle w:val="ListParagraph"/>
        <w:numPr>
          <w:ilvl w:val="2"/>
          <w:numId w:val="1"/>
        </w:numPr>
      </w:pPr>
      <w:r>
        <w:t xml:space="preserve">a)</w:t>
      </w:r>
      <w:r>
        <w:tab/>
      </w:r>
      <w:r>
        <w:t xml:space="preserve">The accessory use is customarily subordinate to and incidental to an allowed predominant or main use within the applicable zoning district; and</w:t>
      </w:r>
    </w:p>
    <w:p>
      <w:pPr>
        <w:pStyle w:val="ListParagraph"/>
        <w:numPr>
          <w:ilvl w:val="2"/>
          <w:numId w:val="1"/>
        </w:numPr>
      </w:pPr>
      <w:r>
        <w:t xml:space="preserve">b)</w:t>
      </w:r>
      <w:r>
        <w:tab/>
      </w:r>
      <w:r>
        <w:t xml:space="preserve">The accessory use, except for yard gardens, composting and farm stands, is located entirely within the same use district as the allowed predominant or main use to which the accessory use is subordinate and incidental; and</w:t>
      </w:r>
    </w:p>
    <w:p>
      <w:pPr>
        <w:pStyle w:val="ListParagraph"/>
        <w:numPr>
          <w:ilvl w:val="2"/>
          <w:numId w:val="1"/>
        </w:numPr>
      </w:pPr>
      <w:r>
        <w:t xml:space="preserve">c)</w:t>
      </w:r>
      <w:r>
        <w:tab/>
      </w:r>
      <w:r>
        <w:t xml:space="preserve">The accessory use is located entirely on the same lot as the allowed predominate or main use to which the accessory use is subordinate and incidental.</w:t>
      </w:r>
    </w:p>
    <w:p>
      <w:pPr>
        <w:pStyle w:val="ListParagraph"/>
        <w:numPr>
          <w:ilvl w:val="1"/>
          <w:numId w:val="1"/>
        </w:numPr>
      </w:pPr>
      <w:r>
        <w:t xml:space="preserve">2.</w:t>
      </w:r>
      <w:r>
        <w:tab/>
      </w:r>
      <w:r>
        <w:t xml:space="preserve">In any district the total area devoted to accessory uses, excluding parking or yard gardens, may not exceed the following:</w:t>
      </w:r>
    </w:p>
    <w:p>
      <w:pPr>
        <w:pStyle w:val="ListParagraph"/>
        <w:numPr>
          <w:ilvl w:val="2"/>
          <w:numId w:val="1"/>
        </w:numPr>
      </w:pPr>
      <w:r>
        <w:t xml:space="preserve">a)</w:t>
      </w:r>
      <w:r>
        <w:tab/>
      </w:r>
      <w:r>
        <w:t xml:space="preserve">More than twenty-five (25) percent of the floor area in a main building; or</w:t>
      </w:r>
    </w:p>
    <w:p>
      <w:pPr>
        <w:pStyle w:val="ListParagraph"/>
        <w:numPr>
          <w:ilvl w:val="2"/>
          <w:numId w:val="1"/>
        </w:numPr>
      </w:pPr>
      <w:r>
        <w:t xml:space="preserve">b)</w:t>
      </w:r>
      <w:r>
        <w:tab/>
      </w:r>
      <w:r>
        <w:t xml:space="preserve">More than twenty-five (25) percent of the entire un-built area of a lot.</w:t>
      </w:r>
    </w:p>
    <w:p>
      <w:pPr>
        <w:pStyle w:val="ListParagraph"/>
        <w:numPr>
          <w:ilvl w:val="1"/>
          <w:numId w:val="1"/>
        </w:numPr>
      </w:pPr>
      <w:r>
        <w:t xml:space="preserve">3.</w:t>
      </w:r>
      <w:r>
        <w:tab/>
      </w:r>
      <w:r>
        <w:t xml:space="preserve">The Director of Code Enforcement may grant a permit for a nonconforming temporary structure or use incidental to a building development, where reasonably required for such development. Such permit may be issued for an initial period of not more than one (1) year and may be renewed by the Director of Code Enforcement for successive periods of not more than one (1) year each.</w:t>
      </w:r>
    </w:p>
    <w:p>
      <w:pPr>
        <w:pStyle w:val="ListParagraph"/>
        <w:numPr>
          <w:ilvl w:val="1"/>
          <w:numId w:val="1"/>
        </w:numPr>
      </w:pPr>
      <w:r>
        <w:t xml:space="preserve">4.</w:t>
      </w:r>
      <w:r>
        <w:tab/>
      </w:r>
      <w:r>
        <w:t xml:space="preserve">A mobile home used as a dwelling may be permitted by the Director of Code Enforcement on a temporary basis, for a period not to exceed ninety (90) days, while a permanent dwelling or other building is being built. Such permit may be renewed by the Director of Code Enforcement for successive periods of not more than ninety- (90) days each. Said permit may not be renewed more than three (3) times.</w:t>
      </w:r>
    </w:p>
    <w:p>
      <w:pPr>
        <w:pStyle w:val="ListParagraph"/>
        <w:numPr>
          <w:ilvl w:val="0"/>
          <w:numId w:val="1"/>
        </w:numPr>
      </w:pPr>
      <w:r>
        <w:t xml:space="preserve">B.</w:t>
      </w:r>
      <w:r>
        <w:tab/>
      </w:r>
      <w:r>
        <w:t xml:space="preserve">Limitation in Residential Districts</w:t>
      </w:r>
    </w:p>
    <w:p>
      <w:pPr>
        <w:pStyle w:val="ListParagraph"/>
        <w:numPr>
          <w:ilvl w:val="1"/>
          <w:numId w:val="1"/>
        </w:numPr>
      </w:pPr>
      <w:r>
        <w:t xml:space="preserve">1.</w:t>
      </w:r>
      <w:r>
        <w:tab/>
      </w:r>
      <w:r>
        <w:t xml:space="preserve">The total area devoted to accessory uses, excluding parking, private garages, swimming pools, and yard gardens may not exceed the following:</w:t>
      </w:r>
    </w:p>
    <w:p>
      <w:pPr>
        <w:pStyle w:val="ListParagraph"/>
        <w:numPr>
          <w:ilvl w:val="2"/>
          <w:numId w:val="1"/>
        </w:numPr>
      </w:pPr>
      <w:r>
        <w:t xml:space="preserve">a)</w:t>
      </w:r>
      <w:r>
        <w:tab/>
      </w:r>
      <w:r>
        <w:t xml:space="preserve">More than ten (10) percent of the floor area in a main building; or</w:t>
      </w:r>
    </w:p>
    <w:p>
      <w:pPr>
        <w:pStyle w:val="ListParagraph"/>
        <w:numPr>
          <w:ilvl w:val="2"/>
          <w:numId w:val="1"/>
        </w:numPr>
      </w:pPr>
      <w:r>
        <w:t xml:space="preserve">b)</w:t>
      </w:r>
      <w:r>
        <w:tab/>
      </w:r>
      <w:r>
        <w:t xml:space="preserve">More than ten (10) percent of the entire un-built area of a lot.</w:t>
      </w:r>
    </w:p>
    <w:p>
      <w:pPr>
        <w:pStyle w:val="ListParagraph"/>
        <w:numPr>
          <w:ilvl w:val="1"/>
          <w:numId w:val="1"/>
        </w:numPr>
      </w:pPr>
      <w:r>
        <w:t xml:space="preserve">2.</w:t>
      </w:r>
      <w:r>
        <w:tab/>
      </w:r>
      <w:r>
        <w:t xml:space="preserve">A private unattached garage located on the same lot with the building to which it is accessory may be provided with a maximum floor area of ten (10) percent of the lot area or seven hundred fifty (750) square feet whichever is larger. Larger private garages may be allowed by special permit of the Zoning Board of Appeals.</w:t>
      </w:r>
    </w:p>
    <w:p>
      <w:pPr>
        <w:pStyle w:val="ListParagraph"/>
        <w:numPr>
          <w:ilvl w:val="1"/>
          <w:numId w:val="1"/>
        </w:numPr>
      </w:pPr>
      <w:r>
        <w:t xml:space="preserve">3.</w:t>
      </w:r>
      <w:r>
        <w:tab/>
      </w:r>
      <w:r>
        <w:t xml:space="preserve">A private swimming pool may be constructed within a required rear yard having an area in excess of the maximum coverage of ten (10) percent allowed above for an accessory building provided that such pool shall be no closer than six (6) feet to the property lines and is enclosed by a separate four (4) foot high fence. Any structure built in conjunction with a swimming pool shall be classified as an accessory building unless it is a part of the main building on the lot.</w:t>
      </w:r>
    </w:p>
    <w:p>
      <w:pPr>
        <w:pStyle w:val="ListParagraph"/>
        <w:numPr>
          <w:ilvl w:val="1"/>
          <w:numId w:val="1"/>
        </w:numPr>
      </w:pPr>
      <w:r>
        <w:t xml:space="preserve">4.</w:t>
      </w:r>
      <w:r>
        <w:tab/>
      </w:r>
      <w:r>
        <w:t xml:space="preserve">No accessory building or use may occupy any part of a required front yard or exterior side yard, except for driveways and parking facilities in accordance with the requirements of Article IV, Section-7, yard gardens without farm structures, farm stands, or as provided for in Article XVI, Section-3.</w:t>
      </w:r>
    </w:p>
    <w:p>
      <w:pPr>
        <w:pStyle w:val="ListParagraph"/>
        <w:numPr>
          <w:ilvl w:val="1"/>
          <w:numId w:val="1"/>
        </w:numPr>
      </w:pPr>
      <w:r>
        <w:t xml:space="preserve">5.</w:t>
      </w:r>
      <w:r>
        <w:tab/>
      </w:r>
      <w:r>
        <w:t xml:space="preserve">In RL and RG residence districts only one (1) commercial vehicle may be kept on one (1) lot and it may not exceed ¾ ton in carrying capacity. The same may be allowed in RS districts if garaged.</w:t>
      </w:r>
    </w:p>
    <w:p>
      <w:pPr>
        <w:pStyle w:val="ListParagraph"/>
        <w:numPr>
          <w:ilvl w:val="1"/>
          <w:numId w:val="1"/>
        </w:numPr>
      </w:pPr>
      <w:r>
        <w:t xml:space="preserve">6.</w:t>
      </w:r>
      <w:r>
        <w:tab/>
      </w:r>
      <w:r>
        <w:t xml:space="preserve">Animals or birds, other than customary household pets, are excluded in all residential districts, provided however, that Racing/Carrier pigeons shall be an allowed accessory use in RS-7 districts.</w:t>
      </w:r>
    </w:p>
    <w:p>
      <w:pPr>
        <w:pStyle w:val="ListParagraph"/>
        <w:numPr>
          <w:ilvl w:val="1"/>
          <w:numId w:val="1"/>
        </w:numPr>
      </w:pPr>
      <w:r>
        <w:t xml:space="preserve">7.</w:t>
      </w:r>
      <w:r>
        <w:tab/>
      </w:r>
      <w:r>
        <w:t xml:space="preserve">A newsstand, barber shop, dining room, or similar service for resident occupants and guests may be allowed in any multiple unit residential development of not less than twenty (20) units; an inn with more than eight (8) rooms; hotel or motel with more than fifty (50) rooms; or hospital.</w:t>
      </w:r>
    </w:p>
    <w:p>
      <w:pPr>
        <w:pStyle w:val="ListParagraph"/>
        <w:numPr>
          <w:ilvl w:val="1"/>
          <w:numId w:val="1"/>
        </w:numPr>
      </w:pPr>
      <w:r>
        <w:t xml:space="preserve">8.</w:t>
      </w:r>
      <w:r>
        <w:tab/>
      </w:r>
      <w:r>
        <w:t xml:space="preserve">The renting of rooms by a resident family may be allowed in a Residential District to not more than two (2) non-transients provided that no more than three (3) persons, who are not within the second degree of kinship, are living in a dwelling unit.</w:t>
      </w:r>
    </w:p>
    <w:p>
      <w:pPr>
        <w:pStyle w:val="ListParagraph"/>
        <w:numPr>
          <w:ilvl w:val="1"/>
          <w:numId w:val="1"/>
        </w:numPr>
      </w:pPr>
      <w:r>
        <w:t xml:space="preserve">9.</w:t>
      </w:r>
      <w:r>
        <w:tab/>
      </w:r>
      <w:r>
        <w:t xml:space="preserve">Yard sales may be conducted on the premises of the owner or tenant, provided said sale does not occur more than three (3) days per year and all sale goods shall be limited to personal property used previously by the occupant.</w:t>
      </w:r>
    </w:p>
    <w:p>
      <w:pPr>
        <w:pStyle w:val="ListParagraph"/>
        <w:numPr>
          <w:ilvl w:val="1"/>
          <w:numId w:val="1"/>
        </w:numPr>
      </w:pPr>
      <w:r>
        <w:t xml:space="preserve">10.</w:t>
      </w:r>
      <w:r>
        <w:tab/>
      </w:r>
      <w:r>
        <w:t xml:space="preserve">Unless provided herein, no accessory building or structure separate from the main building, including a private swimming pool may exceed fifteen (15) feet in height, nor be located closer to any lot line than five (5) feet.</w:t>
      </w:r>
    </w:p>
    <w:p>
      <w:pPr>
        <w:pStyle w:val="ListParagraph"/>
        <w:numPr>
          <w:ilvl w:val="0"/>
          <w:numId w:val="1"/>
        </w:numPr>
      </w:pPr>
      <w:r>
        <w:t xml:space="preserve">C.</w:t>
      </w:r>
      <w:r>
        <w:tab/>
      </w:r>
      <w:r>
        <w:t xml:space="preserve">Home Occupations in Residential Districts as Accessory Uses</w:t>
      </w:r>
    </w:p>
    <w:p>
      <w:pPr>
        <w:pStyle w:val="ListParagraph"/>
        <w:numPr>
          <w:ilvl w:val="1"/>
          <w:numId w:val="1"/>
        </w:numPr>
      </w:pPr>
      <w:r>
        <w:t xml:space="preserve">1.</w:t>
      </w:r>
      <w:r>
        <w:tab/>
      </w:r>
      <w:r>
        <w:t xml:space="preserve">A home occupation shall be allowed in Residential districts subject to the following limitations:</w:t>
      </w:r>
    </w:p>
    <w:p>
      <w:pPr>
        <w:pStyle w:val="ListParagraph"/>
        <w:numPr>
          <w:ilvl w:val="2"/>
          <w:numId w:val="1"/>
        </w:numPr>
      </w:pPr>
      <w:r>
        <w:t xml:space="preserve">a)</w:t>
      </w:r>
      <w:r>
        <w:tab/>
      </w:r>
      <w:r>
        <w:t xml:space="preserve">The person uses the structure as his or her principal dwelling.</w:t>
      </w:r>
    </w:p>
    <w:p>
      <w:pPr>
        <w:pStyle w:val="ListParagraph"/>
        <w:numPr>
          <w:ilvl w:val="2"/>
          <w:numId w:val="1"/>
        </w:numPr>
      </w:pPr>
      <w:r>
        <w:t xml:space="preserve">b)</w:t>
      </w:r>
      <w:r>
        <w:tab/>
      </w:r>
      <w:r>
        <w:t xml:space="preserve">There is no more than one (1) non-resident employee.</w:t>
      </w:r>
    </w:p>
    <w:p>
      <w:pPr>
        <w:pStyle w:val="ListParagraph"/>
        <w:numPr>
          <w:ilvl w:val="2"/>
          <w:numId w:val="1"/>
        </w:numPr>
      </w:pPr>
      <w:r>
        <w:t xml:space="preserve">c)</w:t>
      </w:r>
      <w:r>
        <w:tab/>
      </w:r>
      <w:r>
        <w:t xml:space="preserve">The home occupation shall be conducted only within the closed living area of the principal dwelling or existing accessory building and occupy no more than twenty-five (25) percent of the floor area of the main building, or no more than fifty (50) percent of an accessory structure.</w:t>
      </w:r>
    </w:p>
    <w:p>
      <w:pPr>
        <w:pStyle w:val="ListParagraph"/>
        <w:numPr>
          <w:ilvl w:val="2"/>
          <w:numId w:val="1"/>
        </w:numPr>
      </w:pPr>
      <w:r>
        <w:t xml:space="preserve">d)</w:t>
      </w:r>
      <w:r>
        <w:tab/>
      </w:r>
      <w:r>
        <w:t xml:space="preserve">There shall be no change in the outside appearance of building or premises, or other visible evidence of such home occupation, other than one (1) sign as provided in Section-6 of this Article.</w:t>
      </w:r>
    </w:p>
    <w:p>
      <w:pPr>
        <w:pStyle w:val="ListParagraph"/>
        <w:numPr>
          <w:ilvl w:val="2"/>
          <w:numId w:val="1"/>
        </w:numPr>
      </w:pPr>
      <w:r>
        <w:t xml:space="preserve">e)</w:t>
      </w:r>
      <w:r>
        <w:tab/>
      </w:r>
      <w:r>
        <w:t xml:space="preserve">Electrical or mechanical equipment which creates visible or audible interference, causes fluctuations in line voltage, or which creates noise not normally associated with residential uses and are discernible beyond the limits of the lot which the home occupation is situated shall be prohibited.</w:t>
      </w:r>
    </w:p>
    <w:p>
      <w:pPr>
        <w:pStyle w:val="ListParagraph"/>
        <w:numPr>
          <w:ilvl w:val="2"/>
          <w:numId w:val="1"/>
        </w:numPr>
      </w:pPr>
      <w:r>
        <w:t xml:space="preserve">f)</w:t>
      </w:r>
      <w:r>
        <w:tab/>
      </w:r>
      <w:r>
        <w:t xml:space="preserve">No storage or display of materials, goods, supplies, or equipment related to the operation of a home occupation shall be visible from the outside of any structure on the premises. No sales and/or distribution of goods or materials may be made from any structure on the premises.</w:t>
      </w:r>
    </w:p>
    <w:p>
      <w:pPr>
        <w:pStyle w:val="ListParagraph"/>
        <w:numPr>
          <w:ilvl w:val="2"/>
          <w:numId w:val="1"/>
        </w:numPr>
      </w:pPr>
      <w:r>
        <w:t xml:space="preserve">g)</w:t>
      </w:r>
      <w:r>
        <w:tab/>
      </w:r>
      <w:r>
        <w:t xml:space="preserve">The establishment and conduct of a home occupation shall not change the character or use of the principal dwelling or existing accessory building involved.</w:t>
      </w:r>
    </w:p>
    <w:p>
      <w:pPr>
        <w:pStyle w:val="ListParagraph"/>
        <w:numPr>
          <w:ilvl w:val="0"/>
          <w:numId w:val="1"/>
        </w:numPr>
      </w:pPr>
      <w:r>
        <w:t xml:space="preserve">D.</w:t>
      </w:r>
      <w:r>
        <w:tab/>
      </w:r>
      <w:r>
        <w:t xml:space="preserve">Limitations in Business, Industrial and Manufacturing Districts</w:t>
      </w:r>
    </w:p>
    <w:p>
      <w:pPr>
        <w:pStyle w:val="ListParagraph"/>
        <w:numPr>
          <w:ilvl w:val="1"/>
          <w:numId w:val="1"/>
        </w:numPr>
      </w:pPr>
      <w:r>
        <w:t xml:space="preserve">1.</w:t>
      </w:r>
      <w:r>
        <w:tab/>
      </w:r>
      <w:r>
        <w:t xml:space="preserve">No accessory building or use may occupy any part of a required front yard or exterior side yard, except for driveways and parking facilities in accordance with the requirements of Article IV, Section-7, yard gardens without farm structures, farm stands, or as provided for in Article XVI, Section-3.</w:t>
      </w:r>
    </w:p>
    <w:p>
      <w:pPr>
        <w:pStyle w:val="ListParagraph"/>
        <w:numPr>
          <w:ilvl w:val="1"/>
          <w:numId w:val="1"/>
        </w:numPr>
      </w:pPr>
      <w:r>
        <w:t xml:space="preserve">2.</w:t>
      </w:r>
      <w:r>
        <w:tab/>
      </w:r>
      <w:r>
        <w:t xml:space="preserve">A dwelling structure accessory to an industrial use may be allowed in a manufacturing district but only for such persons as may be required to reside on the premises for the safe and proper operation of the primary use.</w:t>
      </w:r>
    </w:p>
    <w:p>
      <w:pPr>
        <w:pStyle w:val="ListParagraph"/>
        <w:numPr>
          <w:ilvl w:val="0"/>
          <w:numId w:val="1"/>
        </w:numPr>
      </w:pPr>
      <w:r>
        <w:t xml:space="preserve">E.</w:t>
      </w:r>
      <w:r>
        <w:tab/>
      </w:r>
      <w:r>
        <w:t xml:space="preserve">Refuse Transfer Station Facilities as Accessory Uses</w:t>
      </w:r>
    </w:p>
    <w:p>
      <w:pPr>
        <w:pStyle w:val="ListParagraph"/>
        <w:numPr>
          <w:ilvl w:val="1"/>
          <w:numId w:val="1"/>
        </w:numPr>
      </w:pPr>
      <w:r>
        <w:t xml:space="preserve">1.</w:t>
      </w:r>
      <w:r>
        <w:tab/>
      </w:r>
      <w:r>
        <w:t xml:space="preserve">Refuse transfer station facilities are considered accessory uses provided the following requirements are met:</w:t>
      </w:r>
    </w:p>
    <w:p>
      <w:pPr>
        <w:pStyle w:val="ListParagraph"/>
        <w:numPr>
          <w:ilvl w:val="2"/>
          <w:numId w:val="1"/>
        </w:numPr>
      </w:pPr>
      <w:r>
        <w:t xml:space="preserve">a)</w:t>
      </w:r>
      <w:r>
        <w:tab/>
      </w:r>
      <w:r>
        <w:t xml:space="preserve">The handling of solid waste is not a primary use on the property.</w:t>
      </w:r>
    </w:p>
    <w:p>
      <w:pPr>
        <w:pStyle w:val="ListParagraph"/>
        <w:numPr>
          <w:ilvl w:val="2"/>
          <w:numId w:val="1"/>
        </w:numPr>
      </w:pPr>
      <w:r>
        <w:t xml:space="preserve">b)</w:t>
      </w:r>
      <w:r>
        <w:tab/>
      </w:r>
      <w:r>
        <w:t xml:space="preserve">No more than 100 cubic yards of solid waste are stored on the property at any given time.</w:t>
      </w:r>
    </w:p>
    <w:p>
      <w:pPr>
        <w:pStyle w:val="ListParagraph"/>
        <w:numPr>
          <w:ilvl w:val="2"/>
          <w:numId w:val="1"/>
        </w:numPr>
      </w:pPr>
      <w:r>
        <w:t xml:space="preserve">c)</w:t>
      </w:r>
      <w:r>
        <w:tab/>
      </w:r>
      <w:r>
        <w:t xml:space="preserve">Solid waste storage containers, including dumpsters and compactors, shall not exceed 50 cubic yards.</w:t>
      </w:r>
    </w:p>
    <w:p>
      <w:pPr>
        <w:pStyle w:val="ListParagraph"/>
        <w:numPr>
          <w:ilvl w:val="2"/>
          <w:numId w:val="1"/>
        </w:numPr>
      </w:pPr>
      <w:r>
        <w:t xml:space="preserve">d)</w:t>
      </w:r>
      <w:r>
        <w:tab/>
      </w:r>
      <w:r>
        <w:t xml:space="preserve">An opaque visual barrier (e.g. vegetation, walls and/or fencing) must be placed around all solid waste storage containers so as to block the view of the containers from adjacent residential uses in residential areas. The visual barrier shall be constructed and placed to a maximum height as appropriate to protect the view of abutters.</w:t>
      </w:r>
    </w:p>
    <w:p>
      <w:pPr>
        <w:pStyle w:val="ListParagraph"/>
        <w:numPr>
          <w:ilvl w:val="1"/>
          <w:numId w:val="1"/>
        </w:numPr>
      </w:pPr>
      <w:r>
        <w:t xml:space="preserve">2.</w:t>
      </w:r>
      <w:r>
        <w:tab/>
      </w:r>
      <w:r>
        <w:t xml:space="preserve">Refuse transfer station facilities are not allowed as accessory uses in residential zones, except during demolition and construction.</w:t>
      </w:r>
    </w:p>
    <w:p>
      <w:pPr>
        <w:pStyle w:val="ListParagraph"/>
        <w:numPr>
          <w:ilvl w:val="1"/>
          <w:numId w:val="1"/>
        </w:numPr>
      </w:pPr>
      <w:r>
        <w:t xml:space="preserve">3.</w:t>
      </w:r>
      <w:r>
        <w:tab/>
      </w:r>
      <w:r>
        <w:t xml:space="preserve">Refuse transfer station facilities as accessory uses shall be set back a minimum of 50 feet from any adjacent residential zone.</w:t>
      </w:r>
    </w:p>
    <w:p>
      <w:pPr>
        <w:pStyle w:val="ListParagraph"/>
        <w:numPr>
          <w:ilvl w:val="0"/>
          <w:numId w:val="1"/>
        </w:numPr>
      </w:pPr>
      <w:r>
        <w:t xml:space="preserve">F.</w:t>
      </w:r>
      <w:r>
        <w:tab/>
      </w:r>
      <w:r>
        <w:t xml:space="preserve">Common Driveways in All Districts</w:t>
      </w:r>
    </w:p>
    <w:p>
      <w:pPr>
        <w:pStyle w:val="ListParagraph"/>
        <w:numPr>
          <w:ilvl w:val="1"/>
          <w:numId w:val="1"/>
        </w:numPr>
      </w:pPr>
      <w:r>
        <w:t xml:space="preserve">1.</w:t>
      </w:r>
      <w:r>
        <w:tab/>
      </w:r>
      <w:r>
        <w:t xml:space="preserve">Common driveways that serve three (3) or more lots are prohibited except through the issuance of Special Permit by the Planning Board.</w:t>
      </w:r>
    </w:p>
    <w:p>
      <w:pPr>
        <w:pStyle w:val="ListParagraph"/>
        <w:numPr>
          <w:ilvl w:val="1"/>
          <w:numId w:val="1"/>
        </w:numPr>
      </w:pPr>
      <w:r>
        <w:t xml:space="preserve">2.</w:t>
      </w:r>
      <w:r>
        <w:tab/>
      </w:r>
      <w:r>
        <w:t xml:space="preserve">Common driveways cannot be used to satisfy or calculate frontage requirements.</w:t>
      </w:r>
    </w:p>
    <w:p>
      <w:pPr>
        <w:pStyle w:val="ListParagraph"/>
        <w:numPr>
          <w:ilvl w:val="1"/>
          <w:numId w:val="1"/>
        </w:numPr>
      </w:pPr>
      <w:r>
        <w:t xml:space="preserve">3.</w:t>
      </w:r>
      <w:r>
        <w:tab/>
      </w:r>
      <w:r>
        <w:t xml:space="preserve">The construction of common driveways must be in accordance with the standards outlined in the City of Worcester Subdivision Control Regulations.</w:t>
      </w:r>
    </w:p>
    <w:p>
      <w:pPr>
        <w:pStyle w:val="ListParagraph"/>
        <w:numPr>
          <w:ilvl w:val="1"/>
          <w:numId w:val="1"/>
        </w:numPr>
      </w:pPr>
      <w:r>
        <w:t xml:space="preserve">4.</w:t>
      </w:r>
      <w:r>
        <w:tab/>
      </w:r>
      <w:r>
        <w:t xml:space="preserve">Common driveways must access the lots over approved frontage.</w:t>
      </w:r>
    </w:p>
    <w:p>
      <w:pPr>
        <w:pStyle w:val="ListParagraph"/>
        <w:numPr>
          <w:ilvl w:val="1"/>
          <w:numId w:val="1"/>
        </w:numPr>
      </w:pPr>
      <w:r>
        <w:t xml:space="preserve">5.</w:t>
      </w:r>
      <w:r>
        <w:tab/>
      </w:r>
      <w:r>
        <w:t xml:space="preserve">Common driveways may not exceed three hundred (300) feet in length.</w:t>
      </w:r>
    </w:p>
    <w:p>
      <w:pPr>
        <w:pStyle w:val="ListParagraph"/>
        <w:numPr>
          <w:ilvl w:val="0"/>
          <w:numId w:val="1"/>
        </w:numPr>
      </w:pPr>
      <w:r>
        <w:t xml:space="preserve">G.</w:t>
      </w:r>
      <w:r>
        <w:tab/>
      </w:r>
      <w:r>
        <w:t xml:space="preserve">Accessory Dwelling Units</w:t>
      </w:r>
    </w:p>
    <w:p>
      <w:pPr>
        <w:pStyle w:val="ListParagraph"/>
        <w:numPr>
          <w:ilvl w:val="1"/>
          <w:numId w:val="1"/>
        </w:numPr>
      </w:pPr>
      <w:r>
        <w:t xml:space="preserve">1.</w:t>
      </w:r>
      <w:r>
        <w:tab/>
      </w:r>
      <w:r>
        <w:t xml:space="preserve">Purpose and Intent The purpose of this Section is to advance the public good by enabling the creation and expansion of new, diverse housing opportunities intended to increase the supply of healthy, accessible, affordable, and sustainable living spaces that address varied housing needs. Accessory Dwelling Units provide flexibility for diverse housing types and enable more opportunities for intergenerational living environments and provide rental income for homeowners while encouraging the efficient use of the existing housing stock and infrastructure and preserving the character of the neighborhoods.</w:t>
      </w:r>
    </w:p>
    <w:p>
      <w:pPr>
        <w:pStyle w:val="ListParagraph"/>
        <w:numPr>
          <w:ilvl w:val="1"/>
          <w:numId w:val="1"/>
        </w:numPr>
      </w:pPr>
      <w:r>
        <w:t xml:space="preserve">2.</w:t>
      </w:r>
      <w:r>
        <w:tab/>
      </w:r>
      <w:r>
        <w:t xml:space="preserve">Definitions ACCESSORY DWELLING UNIT (ADU): An Accessory Dwelling Unit (ADU) is a self-contained housing unit, inclusive of sleeping, cooking and sanitary facilities on the same lot as a Principal Dwelling, subject to otherwise applicable dimensional and parking requirements, that maintains a separate entrance, either directly from the outside or through an entry hall or corridor shared with the Principal Dwelling, sufficient to meet the requirements of the Building Code and Fire Code for safe egress. An ADU may be detached, attached, or internal to the Principal Dwelling. An ADU is not to be considered when determining the use classification of a lot for zoning purposes. PRINCIPAL DWELLING: A structure, regardless of whether it, or the Lot it is situated on, conforms to zoning, including use requirements and dimensional requirements, such as setbacks, bulk, and height, that contains at least one Dwelling Unit and is, or will be, located on the same Lot as an ADU. GROSS FLOOR AREA (GFA): The sum of the areas of all stories of the building of compliant ceiling height pursuant to the Building Code, including basements, lofts, and intermediate floored tiers, measured from the interior faces of exterior walls or from the centerline of walls separating buildings or dwelling units but excluding crawl spaces, garage parking areas, attics, enclosed porches and similar spaces.</w:t>
      </w:r>
    </w:p>
    <w:p>
      <w:pPr>
        <w:pStyle w:val="ListParagraph"/>
        <w:numPr>
          <w:ilvl w:val="1"/>
          <w:numId w:val="1"/>
        </w:numPr>
      </w:pPr>
      <w:r>
        <w:t xml:space="preserve">3.</w:t>
      </w:r>
      <w:r>
        <w:tab/>
      </w:r>
      <w:r>
        <w:t xml:space="preserve">Notwithstanding anything to the contrary in Article IV, Section 8A-F, Article V, or Article XVI, Section 4 of this Ordinance, Accessory Dwelling Units shall be allowed by right, as an accessory use, in all zoning districts as determined by Table 4.1, in accordance with the requirements set forth herein.</w:t>
      </w:r>
    </w:p>
    <w:p>
      <w:pPr>
        <w:pStyle w:val="ListParagraph"/>
        <w:numPr>
          <w:ilvl w:val="1"/>
          <w:numId w:val="1"/>
        </w:numPr>
      </w:pPr>
      <w:r>
        <w:t xml:space="preserve">4.</w:t>
      </w:r>
      <w:r>
        <w:tab/>
      </w:r>
      <w:r>
        <w:t xml:space="preserve">Use Regulations</w:t>
      </w:r>
    </w:p>
    <w:p>
      <w:pPr>
        <w:pStyle w:val="ListParagraph"/>
        <w:numPr>
          <w:ilvl w:val="2"/>
          <w:numId w:val="1"/>
        </w:numPr>
      </w:pPr>
      <w:r>
        <w:t xml:space="preserve">a)</w:t>
      </w:r>
      <w:r>
        <w:tab/>
      </w:r>
      <w:r>
        <w:t xml:space="preserve">The Principal Dwelling and the ADU shall remain on the same Lot.</w:t>
      </w:r>
    </w:p>
    <w:p>
      <w:pPr>
        <w:pStyle w:val="ListParagraph"/>
        <w:numPr>
          <w:ilvl w:val="2"/>
          <w:numId w:val="1"/>
        </w:numPr>
      </w:pPr>
      <w:r>
        <w:t xml:space="preserve">b)</w:t>
      </w:r>
      <w:r>
        <w:tab/>
      </w:r>
      <w:r>
        <w:t xml:space="preserve">ADUs shall not be a “Short Term Rental” as defined in M.G.L. c. 64G sec. 1.</w:t>
      </w:r>
    </w:p>
    <w:p>
      <w:pPr>
        <w:pStyle w:val="ListParagraph"/>
        <w:numPr>
          <w:ilvl w:val="2"/>
          <w:numId w:val="1"/>
        </w:numPr>
      </w:pPr>
      <w:r>
        <w:t xml:space="preserve">c)</w:t>
      </w:r>
      <w:r>
        <w:tab/>
      </w:r>
      <w:r>
        <w:t xml:space="preserve">The owner of a lot proposing an ADU shall submit to the Building Commissioner, as part of a building permit application, in accordance with Article II, Section 2B of this Ordinance, the following:</w:t>
      </w:r>
    </w:p>
    <w:p>
      <w:pPr>
        <w:pStyle w:val="ListParagraph"/>
        <w:numPr>
          <w:ilvl w:val="3"/>
          <w:numId w:val="1"/>
        </w:numPr>
      </w:pPr>
      <w:r>
        <w:t xml:space="preserve">i.</w:t>
      </w:r>
      <w:r>
        <w:tab/>
      </w:r>
      <w:r>
        <w:t xml:space="preserve">A to-scale architectural plan, depicting the location and gross square footage of the Principal Dwelling unit(s), the location and gross square footage of the proposed ADU, and the location of all ingress and egress points from the ADU and the Principal Dwelling.</w:t>
      </w:r>
    </w:p>
    <w:p>
      <w:pPr>
        <w:pStyle w:val="ListParagraph"/>
        <w:numPr>
          <w:ilvl w:val="3"/>
          <w:numId w:val="1"/>
        </w:numPr>
      </w:pPr>
      <w:r>
        <w:t xml:space="preserve">ii.</w:t>
      </w:r>
      <w:r>
        <w:tab/>
      </w:r>
      <w:r>
        <w:t xml:space="preserve">A to-scale site plan, prepared and stamped by a Massachusetts registered professional land surveyor, depicting the required setbacks.</w:t>
      </w:r>
    </w:p>
    <w:p>
      <w:pPr>
        <w:pStyle w:val="ListParagraph"/>
        <w:numPr>
          <w:ilvl w:val="2"/>
          <w:numId w:val="1"/>
        </w:numPr>
      </w:pPr>
      <w:r>
        <w:t xml:space="preserve">d)</w:t>
      </w:r>
      <w:r>
        <w:tab/>
      </w:r>
      <w:r>
        <w:t xml:space="preserve">ADUs shall obtain a certificate of occupancy prior to commencement of use.</w:t>
      </w:r>
    </w:p>
    <w:p>
      <w:pPr>
        <w:pStyle w:val="ListParagraph"/>
        <w:numPr>
          <w:ilvl w:val="2"/>
          <w:numId w:val="1"/>
        </w:numPr>
      </w:pPr>
      <w:r>
        <w:t xml:space="preserve">e)</w:t>
      </w:r>
      <w:r>
        <w:tab/>
      </w:r>
      <w:r>
        <w:t xml:space="preserve">ADUs shall not require definitive site plan approval.</w:t>
      </w:r>
    </w:p>
    <w:p>
      <w:pPr>
        <w:pStyle w:val="ListParagraph"/>
        <w:numPr>
          <w:ilvl w:val="1"/>
          <w:numId w:val="1"/>
        </w:numPr>
      </w:pPr>
      <w:r>
        <w:t xml:space="preserve">5.</w:t>
      </w:r>
      <w:r>
        <w:tab/>
      </w:r>
      <w:r>
        <w:t xml:space="preserve">Dimensional Regulations There shall be no more than one (1) ADU per lot, in accordance with the following dimensional requirements:</w:t>
      </w:r>
    </w:p>
    <w:p>
      <w:pPr>
        <w:pStyle w:val="ListParagraph"/>
        <w:numPr>
          <w:ilvl w:val="2"/>
          <w:numId w:val="1"/>
        </w:numPr>
      </w:pPr>
      <w:r>
        <w:t xml:space="preserve">a)</w:t>
      </w:r>
      <w:r>
        <w:tab/>
      </w:r>
      <w:r>
        <w:t xml:space="preserve">Size: The gross floor area of an ADU shall be no greater than nine hundred (900) square feet.</w:t>
      </w:r>
    </w:p>
    <w:p>
      <w:pPr>
        <w:pStyle w:val="ListParagraph"/>
        <w:numPr>
          <w:ilvl w:val="2"/>
          <w:numId w:val="1"/>
        </w:numPr>
      </w:pPr>
      <w:r>
        <w:t xml:space="preserve">b)</w:t>
      </w:r>
      <w:r>
        <w:tab/>
      </w:r>
      <w:r>
        <w:t xml:space="preserve">Setback and Height:</w:t>
      </w:r>
    </w:p>
    <w:p>
      <w:pPr>
        <w:pStyle w:val="ListParagraph"/>
        <w:numPr>
          <w:ilvl w:val="3"/>
          <w:numId w:val="1"/>
        </w:numPr>
      </w:pPr>
      <w:r>
        <w:t xml:space="preserve">i.</w:t>
      </w:r>
      <w:r>
        <w:tab/>
      </w:r>
      <w:r>
        <w:t xml:space="preserve">ADUs shall not have more restrictive dimensional standards than those required for the Principal Dwelling; a Single-Family Detached Dwelling , or; an Accessory Structure within the same zoning district, whichever results in a more permissive regulation.</w:t>
      </w:r>
    </w:p>
    <w:p>
      <w:pPr>
        <w:pStyle w:val="ListParagraph"/>
        <w:numPr>
          <w:ilvl w:val="3"/>
          <w:numId w:val="1"/>
        </w:numPr>
      </w:pPr>
      <w:r>
        <w:t xml:space="preserve">ii.</w:t>
      </w:r>
      <w:r>
        <w:tab/>
      </w:r>
      <w:r>
        <w:t xml:space="preserve">ADUs proposed within existing buildings, to which no expansion or addition is proposed, shall be exempt from the requirements of Table 4.2 related to height.</w:t>
      </w:r>
    </w:p>
    <w:p>
      <w:pPr>
        <w:pStyle w:val="ListParagraph"/>
        <w:numPr>
          <w:ilvl w:val="2"/>
          <w:numId w:val="1"/>
        </w:numPr>
      </w:pPr>
      <w:r>
        <w:t xml:space="preserve">c)</w:t>
      </w:r>
      <w:r>
        <w:tab/>
      </w:r>
      <w:r>
        <w:t xml:space="preserve">ADUs shall not be permitted within the front-yard, unless approved by the Building Commissioner through a reasonable analysis in accordance with the requirements of 760 CMR 71.03 (3).</w:t>
      </w:r>
    </w:p>
    <w:p>
      <w:pPr>
        <w:pStyle w:val="ListParagraph"/>
        <w:numPr>
          <w:ilvl w:val="2"/>
          <w:numId w:val="1"/>
        </w:numPr>
      </w:pPr>
      <w:r>
        <w:t xml:space="preserve">d)</w:t>
      </w:r>
      <w:r>
        <w:tab/>
      </w:r>
      <w:r>
        <w:t xml:space="preserve">ADUs shall be permitted within, or on a Lot with, a Pre-Existing Nonconforming Structure so long as the ADU can be developed in conformance with the Building Code, 760 CMR 71.00, and any expansions or additions are subject to the otherwise applicable dimensional requirements.</w:t>
      </w:r>
    </w:p>
    <w:p>
      <w:pPr>
        <w:pStyle w:val="ListParagraph"/>
        <w:numPr>
          <w:ilvl w:val="2"/>
          <w:numId w:val="1"/>
        </w:numPr>
      </w:pPr>
      <w:r>
        <w:t xml:space="preserve">e)</w:t>
      </w:r>
      <w:r>
        <w:tab/>
      </w:r>
      <w:r>
        <w:t xml:space="preserve">ADUs shall be exempt from any required finding under Article XVI, Section 4. (</w:t>
      </w:r>
      <w:r>
        <w:t xml:space="preserve">M.G.L. c. 40A §6</w:t>
      </w:r>
      <w:r>
        <w:t xml:space="preserve">).</w:t>
      </w:r>
    </w:p>
    <w:p>
      <w:pPr>
        <w:pStyle w:val="ListParagraph"/>
        <w:numPr>
          <w:ilvl w:val="2"/>
          <w:numId w:val="1"/>
        </w:numPr>
      </w:pPr>
      <w:r>
        <w:t xml:space="preserve">f)</w:t>
      </w:r>
      <w:r>
        <w:tab/>
      </w:r>
      <w:r>
        <w:t xml:space="preserve">ADUs shall not be considered when calculating Floor to Area Ratio.</w:t>
      </w:r>
    </w:p>
    <w:p>
      <w:pPr>
        <w:pStyle w:val="ListParagraph"/>
        <w:numPr>
          <w:ilvl w:val="1"/>
          <w:numId w:val="1"/>
        </w:numPr>
      </w:pPr>
      <w:r>
        <w:t xml:space="preserve">6.</w:t>
      </w:r>
      <w:r>
        <w:tab/>
      </w:r>
      <w:r>
        <w:t xml:space="preserve">Parking: ADUs shall not require additional off-street parking spaces. However, the addition of an ADU shall not eliminate existing parking spaces that are otherwise required by this Ordinance from a lot (e.g., if an ADU is constructed in an existing parking facility).</w:t>
      </w:r>
    </w:p>
    <w:p>
      <w:pPr>
        <w:pStyle w:val="ListParagraph"/>
        <w:numPr>
          <w:ilvl w:val="1"/>
          <w:numId w:val="1"/>
        </w:numPr>
      </w:pPr>
      <w:r>
        <w:t xml:space="preserve">7.</w:t>
      </w:r>
      <w:r>
        <w:tab/>
      </w:r>
      <w:r>
        <w:t xml:space="preserve">Where the standards listed above in this Section 8(G)(5)(a) through (d) related to dimensional regulations and Section 8(G)(6), related to parking, are not met, the Planning Board may approve modifications through a Special Permit in accordance with the requirements set forth in Article II, Section 6 of this Ordinance.</w:t>
      </w:r>
    </w:p>
    <w:p>
      <w:pPr>
        <w:pStyle w:val="Heading3"/>
      </w:pPr>
      <w:r>
        <w:t xml:space="preserve">§ 9. Residential Conversions</w:t>
      </w:r>
    </w:p>
    <w:p>
      <w:pPr>
        <w:pStyle w:val="ListParagraph"/>
        <w:numPr>
          <w:ilvl w:val="0"/>
          <w:numId w:val="1"/>
        </w:numPr>
      </w:pPr>
      <w:r>
        <w:t xml:space="preserve">A.</w:t>
      </w:r>
      <w:r>
        <w:tab/>
      </w:r>
      <w:r>
        <w:t xml:space="preserve">In RL and RG districts, residential structures in existence on March 21, 1989, may be converted to provide additional dwelling units if the following are met:</w:t>
      </w:r>
    </w:p>
    <w:p>
      <w:pPr>
        <w:pStyle w:val="ListParagraph"/>
        <w:numPr>
          <w:ilvl w:val="1"/>
          <w:numId w:val="1"/>
        </w:numPr>
      </w:pPr>
      <w:r>
        <w:t xml:space="preserve">1.</w:t>
      </w:r>
      <w:r>
        <w:tab/>
      </w:r>
      <w:r>
        <w:t xml:space="preserve">Limited in RL districts, provided the structure as converted contains no more than two (2) units.</w:t>
      </w:r>
    </w:p>
    <w:p>
      <w:pPr>
        <w:pStyle w:val="ListParagraph"/>
        <w:numPr>
          <w:ilvl w:val="1"/>
          <w:numId w:val="1"/>
        </w:numPr>
      </w:pPr>
      <w:r>
        <w:t xml:space="preserve">2.</w:t>
      </w:r>
      <w:r>
        <w:tab/>
      </w:r>
      <w:r>
        <w:t xml:space="preserve">External appearance of the structure remains unchanged except for new doors and windows, fire escapes and stairways. Fire escapes and stairways must be in the rear of the structure where practical.</w:t>
      </w:r>
    </w:p>
    <w:p>
      <w:pPr>
        <w:pStyle w:val="ListParagraph"/>
        <w:numPr>
          <w:ilvl w:val="1"/>
          <w:numId w:val="1"/>
        </w:numPr>
      </w:pPr>
      <w:r>
        <w:t xml:space="preserve">3.</w:t>
      </w:r>
      <w:r>
        <w:tab/>
      </w:r>
      <w:r>
        <w:t xml:space="preserve">The structure, as converted, satisfies the dimensional standards and parking requirements of this Ordinance.</w:t>
      </w:r>
    </w:p>
    <w:p>
      <w:pPr>
        <w:pStyle w:val="ListParagraph"/>
        <w:numPr>
          <w:ilvl w:val="1"/>
          <w:numId w:val="1"/>
        </w:numPr>
      </w:pPr>
      <w:r>
        <w:t xml:space="preserve">4.</w:t>
      </w:r>
      <w:r>
        <w:tab/>
      </w:r>
      <w:r>
        <w:t xml:space="preserve">The dimensional standards in A(3) above may be altered by special permit of the Zoning Board of Appeals.</w:t>
      </w:r>
    </w:p>
    <w:p>
      <w:pPr>
        <w:pStyle w:val="ListParagraph"/>
        <w:numPr>
          <w:ilvl w:val="0"/>
          <w:numId w:val="1"/>
        </w:numPr>
      </w:pPr>
      <w:r>
        <w:t xml:space="preserve">B.</w:t>
      </w:r>
      <w:r>
        <w:tab/>
      </w:r>
      <w:r>
        <w:t xml:space="preserve">In Business, Manufacturing and Industrial Park Zones, residential structures in existence on the effective date of this Ordinance may be converted to provide additional dwelling units if the following are met:</w:t>
      </w:r>
    </w:p>
    <w:p>
      <w:pPr>
        <w:pStyle w:val="ListParagraph"/>
        <w:numPr>
          <w:ilvl w:val="1"/>
          <w:numId w:val="1"/>
        </w:numPr>
      </w:pPr>
      <w:r>
        <w:t xml:space="preserve">1.</w:t>
      </w:r>
      <w:r>
        <w:tab/>
      </w:r>
      <w:r>
        <w:t xml:space="preserve">External appearance of the structure remains unchanged except for additional doors and windows, fire escapes and stairways. Fire escapes and stairways must be in the rear of the structure where practical.</w:t>
      </w:r>
    </w:p>
    <w:p>
      <w:pPr>
        <w:pStyle w:val="ListParagraph"/>
        <w:numPr>
          <w:ilvl w:val="1"/>
          <w:numId w:val="1"/>
        </w:numPr>
      </w:pPr>
      <w:r>
        <w:t xml:space="preserve">2.</w:t>
      </w:r>
      <w:r>
        <w:tab/>
      </w:r>
      <w:r>
        <w:t xml:space="preserve">The structure, as converted, satisfies the dimensional standards and parking requirements of this Ordinance.</w:t>
      </w:r>
    </w:p>
    <w:p>
      <w:pPr>
        <w:pStyle w:val="ListParagraph"/>
        <w:numPr>
          <w:ilvl w:val="1"/>
          <w:numId w:val="1"/>
        </w:numPr>
      </w:pPr>
      <w:r>
        <w:t xml:space="preserve">3.</w:t>
      </w:r>
      <w:r>
        <w:tab/>
      </w:r>
      <w:r>
        <w:t xml:space="preserve">The dimensional standards in B(2) above, may be altered by special permit of the Zoning Board of Appeals.</w:t>
      </w:r>
    </w:p>
    <w:p>
      <w:pPr>
        <w:pStyle w:val="Heading3"/>
      </w:pPr>
      <w:r>
        <w:t xml:space="preserve">§ 63. (Inducing or abetting delinquency of a child), or G.L. c. 272, §28 (Dissemination or</w:t>
      </w:r>
    </w:p>
    <w:p>
      <w:r>
        <w:t xml:space="preserve">possession of matter harmful to minors)..</w:t>
      </w:r>
    </w:p>
    <w:p>
      <w:pPr>
        <w:pStyle w:val="ListParagraph"/>
        <w:numPr>
          <w:ilvl w:val="0"/>
          <w:numId w:val="1"/>
        </w:numPr>
      </w:pPr>
      <w:r>
        <w:t xml:space="preserve">E.</w:t>
      </w:r>
      <w:r>
        <w:tab/>
      </w:r>
      <w:r>
        <w:t xml:space="preserve">None of the provisions of Article II of this ordinance governing special permits shall apply to special permits granted under this section except those governing the size, form, contents, style and number of copies of the application, the fee to be charged, the notifications for the public hearing, the filing of decisions, violations and penalties contained therein.</w:t>
      </w:r>
    </w:p>
    <w:p>
      <w:pPr>
        <w:pStyle w:val="ListParagraph"/>
        <w:numPr>
          <w:ilvl w:val="0"/>
          <w:numId w:val="1"/>
        </w:numPr>
      </w:pPr>
      <w:r>
        <w:t xml:space="preserve">F.</w:t>
      </w:r>
      <w:r>
        <w:tab/>
      </w:r>
      <w:r>
        <w:t xml:space="preserve">Each applicant for a special permit under this section shall submit a security plan showing the arrangement of pedestrian circulation and access to the public points of entry to the premises from the nearest public or private street or off-street parking area, any walkway structures and detailing how the property will be policed so as to avoid, deter and prevent illegal activities from taking place upon or about the applicant's premises.</w:t>
      </w:r>
    </w:p>
    <w:p>
      <w:pPr>
        <w:pStyle w:val="ListParagraph"/>
        <w:numPr>
          <w:ilvl w:val="0"/>
          <w:numId w:val="1"/>
        </w:numPr>
      </w:pPr>
      <w:r>
        <w:t xml:space="preserve">G.</w:t>
      </w:r>
      <w:r>
        <w:tab/>
      </w:r>
      <w:r>
        <w:t xml:space="preserve">Each applicant for a special permit under this section shall submit a plan signed by a licensed surveyor, depicting compliance with the linear distance requirements listed in subsection C above.</w:t>
      </w:r>
    </w:p>
    <w:p>
      <w:pPr>
        <w:pStyle w:val="ListParagraph"/>
        <w:numPr>
          <w:ilvl w:val="0"/>
          <w:numId w:val="1"/>
        </w:numPr>
      </w:pPr>
      <w:r>
        <w:t xml:space="preserve">H.</w:t>
      </w:r>
      <w:r>
        <w:tab/>
      </w:r>
      <w:r>
        <w:t xml:space="preserve">Notwithstanding any contrary provision of this Zoning Ordinance, no applicant under this section shall be required to obtain site plan approval or to include a landscaped buffer zone and no application filed under this section ten shall be denied on account of the failure to obtain any site plan approval or a landscaped buffer zone.</w:t>
      </w:r>
    </w:p>
    <w:p>
      <w:pPr>
        <w:pStyle w:val="ListParagraph"/>
        <w:numPr>
          <w:ilvl w:val="0"/>
          <w:numId w:val="1"/>
        </w:numPr>
      </w:pPr>
      <w:r>
        <w:t xml:space="preserve">I.</w:t>
      </w:r>
      <w:r>
        <w:tab/>
      </w:r>
      <w:r>
        <w:t xml:space="preserve">Upon receipt of any application for a special permit under this section ten, the board shall immediately schedule a public hearing to be held within thirty-five days of the date of receipt of the application. Failure of the board to take final action upon an application for a special permit under this section ten within ninety days of the date the application is first filed with the board shall be deemed to be a grant of the permit; provided, however, that the applicant may in its sole discretion waive this provision to provide additional time to submit information required by this section ten or relevant to any requirement of this section ten.</w:t>
      </w:r>
    </w:p>
    <w:p>
      <w:pPr>
        <w:pStyle w:val="ListParagraph"/>
        <w:numPr>
          <w:ilvl w:val="0"/>
          <w:numId w:val="1"/>
        </w:numPr>
      </w:pPr>
      <w:r>
        <w:t xml:space="preserve">J.</w:t>
      </w:r>
      <w:r>
        <w:tab/>
      </w:r>
      <w:r>
        <w:t xml:space="preserve">Any special permit granted under this section shall lapse and become null and void:</w:t>
      </w:r>
    </w:p>
    <w:p>
      <w:pPr>
        <w:pStyle w:val="ListParagraph"/>
        <w:numPr>
          <w:ilvl w:val="1"/>
          <w:numId w:val="1"/>
        </w:numPr>
      </w:pPr>
      <w:r>
        <w:t xml:space="preserve">1.</w:t>
      </w:r>
      <w:r>
        <w:tab/>
      </w:r>
      <w:r>
        <w:t xml:space="preserve">If a substantial use thereof has not commenced within six months from the date of the grant thereof, including such time required to pursue or await the determination of an appeal, except for good cause; or, in the case of a permit for construction, if construction has not begun by such date, except for good cause; or,</w:t>
      </w:r>
    </w:p>
    <w:p>
      <w:pPr>
        <w:pStyle w:val="ListParagraph"/>
        <w:numPr>
          <w:ilvl w:val="1"/>
          <w:numId w:val="1"/>
        </w:numPr>
      </w:pPr>
      <w:r>
        <w:t xml:space="preserve">2.</w:t>
      </w:r>
      <w:r>
        <w:tab/>
      </w:r>
      <w:r>
        <w:t xml:space="preserve">Thirty days after the date of a conviction under the provisions of G.L. c. 119, §63, or G.L. c. 272, §28 by any person having an interest in said adult entertainment establishment, unless said person divests him or herself of such interest by such date; or,</w:t>
      </w:r>
    </w:p>
    <w:p>
      <w:pPr>
        <w:pStyle w:val="ListParagraph"/>
        <w:numPr>
          <w:ilvl w:val="1"/>
          <w:numId w:val="1"/>
        </w:numPr>
      </w:pPr>
      <w:r>
        <w:t xml:space="preserve">3.</w:t>
      </w:r>
      <w:r>
        <w:tab/>
      </w:r>
      <w:r>
        <w:t xml:space="preserve">Immediately whenever any person having been convicted of violating M.G.L. c. 119, §63, or G.L. c. 272, §28 shall acquire an interest in said adult entertainment</w:t>
      </w:r>
    </w:p>
    <w:p>
      <w:pPr>
        <w:pStyle w:val="ListParagraph"/>
        <w:numPr>
          <w:ilvl w:val="0"/>
          <w:numId w:val="1"/>
        </w:numPr>
      </w:pPr>
      <w:r>
        <w:t xml:space="preserve">K.</w:t>
      </w:r>
      <w:r>
        <w:tab/>
      </w:r>
      <w:r>
        <w:t xml:space="preserve">Every adult entertainment establishment which is lawfully in existence as of the date of adoption of this section and not previously issued a special permit under this provision shall apply for a special permit as a condition of its continued operation at such location, within ninety days of the effective date of adoption of this section 10.</w:t>
      </w:r>
    </w:p>
    <w:p>
      <w:pPr>
        <w:pStyle w:val="Heading3"/>
      </w:pPr>
      <w:r>
        <w:t xml:space="preserve">§ 332. (c)(7)(C)(i)]</w:t>
      </w:r>
    </w:p>
    <w:p>
      <w:r>
        <w:t xml:space="preserve">RADIO FREQUENCY (RF) ENGINEER – An engineer specializing in electrical or microwave engineering, especially the study of radio frequencies. RADIO FREQUENCY RADIATION (RFR) – The emissions from Personal Wireless Service Facilities. SECURITY BARRIER – A locked, impenetrable wall, fence or berm that completely seals an area from unauthorized entry or trespass. SEPARATION – The distance between one (1) carrier’s array of antenna and another carrier’s array.</w:t>
      </w:r>
    </w:p>
    <w:p>
      <w:pPr>
        <w:pStyle w:val="ListParagraph"/>
        <w:numPr>
          <w:ilvl w:val="0"/>
          <w:numId w:val="1"/>
        </w:numPr>
      </w:pPr>
      <w:r>
        <w:t xml:space="preserve">C.</w:t>
      </w:r>
      <w:r>
        <w:tab/>
      </w:r>
      <w:r>
        <w:t xml:space="preserve">Use Regulations</w:t>
      </w:r>
    </w:p>
    <w:p>
      <w:pPr>
        <w:pStyle w:val="ListParagraph"/>
        <w:numPr>
          <w:ilvl w:val="1"/>
          <w:numId w:val="1"/>
        </w:numPr>
      </w:pPr>
      <w:r>
        <w:t xml:space="preserve">1.</w:t>
      </w:r>
      <w:r>
        <w:tab/>
      </w:r>
      <w:r>
        <w:t xml:space="preserve">Use Regulations - A Personal Wireless Service Facility shall be permitted as follows:</w:t>
      </w:r>
    </w:p>
    <w:p>
      <w:pPr>
        <w:pStyle w:val="ListParagraph"/>
        <w:numPr>
          <w:ilvl w:val="2"/>
          <w:numId w:val="1"/>
        </w:numPr>
      </w:pPr>
      <w:r>
        <w:t xml:space="preserve">a)</w:t>
      </w:r>
      <w:r>
        <w:tab/>
      </w:r>
      <w:r>
        <w:t xml:space="preserve">A Personal Wireless Service Facility may locate on any existing guyed tower, lattice tower, monopole, electric utility transmission tower, fire tower or water tower, provided that the installation of the new Personal Wireless Service Facility does not increase the height of the existing structure except as provided in Section C(2) below.</w:t>
      </w:r>
    </w:p>
    <w:p>
      <w:pPr>
        <w:pStyle w:val="ListParagraph"/>
        <w:numPr>
          <w:ilvl w:val="2"/>
          <w:numId w:val="1"/>
        </w:numPr>
      </w:pPr>
      <w:r>
        <w:t xml:space="preserve">b)</w:t>
      </w:r>
      <w:r>
        <w:tab/>
      </w:r>
      <w:r>
        <w:t xml:space="preserve">Interior-Mounted and Side-Mounted Personal Wireless Service Facilities may be located as provided in Section (B), above. Except for the fact that a Special Permit is not required for such Personal Wireless Service Facilities, all other relevant provisions of this Article IV, Section-13 shall apply.</w:t>
      </w:r>
    </w:p>
    <w:p>
      <w:pPr>
        <w:pStyle w:val="ListParagraph"/>
        <w:numPr>
          <w:ilvl w:val="1"/>
          <w:numId w:val="1"/>
        </w:numPr>
      </w:pPr>
      <w:r>
        <w:t xml:space="preserve">2.</w:t>
      </w:r>
      <w:r>
        <w:tab/>
      </w:r>
      <w:r>
        <w:t xml:space="preserve">Location Applicants seeking approval for Personal Wireless Service Facilities shall comply with the following:</w:t>
      </w:r>
    </w:p>
    <w:p>
      <w:pPr>
        <w:pStyle w:val="ListParagraph"/>
        <w:numPr>
          <w:ilvl w:val="2"/>
          <w:numId w:val="1"/>
        </w:numPr>
      </w:pPr>
      <w:r>
        <w:t xml:space="preserve">a)</w:t>
      </w:r>
      <w:r>
        <w:tab/>
      </w:r>
      <w:r>
        <w:t xml:space="preserve">The applicant shall submit documentation of the legal right to install and/or use the proposed Personal Wireless Service Facility mount at the time of application for a building permit and/or special permit.</w:t>
      </w:r>
    </w:p>
    <w:p>
      <w:pPr>
        <w:pStyle w:val="ListParagraph"/>
        <w:numPr>
          <w:ilvl w:val="2"/>
          <w:numId w:val="1"/>
        </w:numPr>
      </w:pPr>
      <w:r>
        <w:t xml:space="preserve">b)</w:t>
      </w:r>
      <w:r>
        <w:tab/>
      </w:r>
      <w:r>
        <w:t xml:space="preserve">If feasible, Personal Wireless Service Facilities shall be located on existing structures, including but not limited to buildings, water towers, existing telecommunications facilities, utility poles and towers, and related facilities, provided that such installation preserves the character and integrity of those structures. In particular, applicants are urged to consider use of existing telephone and electric utility structures as sites for one or more Personal Wireless Service Facilities. The applicant shall have the burden of proving that there are no feasible existing structures upon which to locate.</w:t>
      </w:r>
    </w:p>
    <w:p>
      <w:pPr>
        <w:pStyle w:val="ListParagraph"/>
        <w:numPr>
          <w:ilvl w:val="2"/>
          <w:numId w:val="1"/>
        </w:numPr>
      </w:pPr>
      <w:r>
        <w:t xml:space="preserve">c)</w:t>
      </w:r>
      <w:r>
        <w:tab/>
      </w:r>
      <w:r>
        <w:t xml:space="preserve">If the applicant demonstrates that it is not feasible to locate on an existing structure, Personal Wireless Service Facilities shall be designed so as to be camouflaged to the greatest extent possible, including but not limited to: use of compatible building materials and colors, screening, landscaping, and placement within clusters of trees.</w:t>
      </w:r>
    </w:p>
    <w:p>
      <w:pPr>
        <w:pStyle w:val="ListParagraph"/>
        <w:numPr>
          <w:ilvl w:val="1"/>
          <w:numId w:val="1"/>
        </w:numPr>
      </w:pPr>
      <w:r>
        <w:t xml:space="preserve">3.</w:t>
      </w:r>
      <w:r>
        <w:tab/>
      </w:r>
      <w:r>
        <w:t xml:space="preserve">Dimensional Requirements Personal Wireless Service Facilities shall comply with the following requirements:</w:t>
      </w:r>
    </w:p>
    <w:p>
      <w:pPr>
        <w:pStyle w:val="ListParagraph"/>
        <w:numPr>
          <w:ilvl w:val="2"/>
          <w:numId w:val="1"/>
        </w:numPr>
      </w:pPr>
      <w:r>
        <w:t xml:space="preserve">a)</w:t>
      </w:r>
      <w:r>
        <w:tab/>
      </w:r>
      <w:r>
        <w:t xml:space="preserve">Height, Roof-Mounted Facilities - Roof-mounted Personal Wireless Service Facilities shall not project more than ten (10) feet above the height of the existing building upon which the Personal Wireless Service Facility is proposed to be located. Said Personal Wireless Service Facilities may be located on a building that is legally non-conforming with respect to height, providing that the Personal Wireless Service Facilities do not project more than ten (10) feet above the existing building height.</w:t>
      </w:r>
    </w:p>
    <w:p>
      <w:pPr>
        <w:pStyle w:val="ListParagraph"/>
        <w:numPr>
          <w:ilvl w:val="2"/>
          <w:numId w:val="1"/>
        </w:numPr>
      </w:pPr>
      <w:r>
        <w:t xml:space="preserve">b)</w:t>
      </w:r>
      <w:r>
        <w:tab/>
      </w:r>
      <w:r>
        <w:t xml:space="preserve">Height, Structure-Mounted Facilities - Structure-mounted Personal Wireless Service Facilities shall not project more than ten (10) feet above the height of the existing structure upon which the Personal Wireless Service Facility is proposed to be located. Said Personal Wireless Service Facilities may locate on a structure that is legally nonconforming with respect to height, providing that the Personal Wireless Service Facilities do not project more than ten (10) feet above the existing structure height.</w:t>
      </w:r>
    </w:p>
    <w:p>
      <w:pPr>
        <w:pStyle w:val="ListParagraph"/>
        <w:numPr>
          <w:ilvl w:val="2"/>
          <w:numId w:val="1"/>
        </w:numPr>
      </w:pPr>
      <w:r>
        <w:t xml:space="preserve">c)</w:t>
      </w:r>
      <w:r>
        <w:tab/>
      </w:r>
      <w:r>
        <w:t xml:space="preserve">Height, Side-Mounted Facilities - Side-mounted Personal Wireless Service Facilities shall not project above the height of the existing building or structure upon which the Personal Wireless Service Facility is proposed to be located. Said Personal Wireless Service Facilities may locate on a building or structure that is legally nonconforming with respect to height, providing that the Personal Wireless Service Facilities do not project above the existing building or structure height.</w:t>
      </w:r>
    </w:p>
    <w:p>
      <w:pPr>
        <w:pStyle w:val="ListParagraph"/>
        <w:numPr>
          <w:ilvl w:val="2"/>
          <w:numId w:val="1"/>
        </w:numPr>
      </w:pPr>
      <w:r>
        <w:t xml:space="preserve">d)</w:t>
      </w:r>
      <w:r>
        <w:tab/>
      </w:r>
      <w:r>
        <w:t xml:space="preserve">Height, Interior-Mounted Facilities - Interior-Mounted Personal Wireless Service Facilities shall not exceed the height of the building or structure upon which the Personal Wireless Service Facility is proposed to be located and shall be completely camouflaged such as within a flagpole, steeple, chimney or similar structure.</w:t>
      </w:r>
    </w:p>
    <w:p>
      <w:pPr>
        <w:pStyle w:val="ListParagraph"/>
        <w:numPr>
          <w:ilvl w:val="2"/>
          <w:numId w:val="1"/>
        </w:numPr>
      </w:pPr>
      <w:r>
        <w:t xml:space="preserve">e)</w:t>
      </w:r>
      <w:r>
        <w:tab/>
      </w:r>
      <w:r>
        <w:t xml:space="preserve">Height, Ground-Mounted Facilities - Ground-mounted Personal Wireless Service Facilities shall comply with the following requirements: LIMITATIONS ZONE HEIGHT RS-10 Not Allowed RS-7 Not Allowed RL-7 Not Allowed RG-5 Not Allowed BO-1.0 40 BO-2.0 40 BL-1.0 40 BG-2.0 50 BG-3.0 100 BG-4.0 150 BG-6.0 75 ML-0.5 50 ML-1.0 50 ML-2.0 100 MG-0.5 50 MG-1.0 100 MG-2.0 100 IP-0.33 50 IN-S 40 IN-H 40 A-1 100</w:t>
      </w:r>
    </w:p>
    <w:p>
      <w:pPr>
        <w:pStyle w:val="ListParagraph"/>
        <w:numPr>
          <w:ilvl w:val="2"/>
          <w:numId w:val="1"/>
        </w:numPr>
      </w:pPr>
      <w:r>
        <w:t xml:space="preserve">f)</w:t>
      </w:r>
      <w:r>
        <w:tab/>
      </w:r>
      <w:r>
        <w:t xml:space="preserve">Setbacks - All Personal Wireless Service Facilities and their equipment shelters shall comply with the building setback provisions of the zoning district in which the Personal Wireless Service Facility is located. In addition, the following setbacks shall be observed: In order to ensure public safety, the minimum distance from the base of any ground-mounted Personal Wireless Service Facilities to any property line, road, habitable dwelling, business or institutional use, or public recreational area shall be the height of the facility/mount including any antennas or other appurtenances. This setback shall be referred to as the “fall zone”.</w:t>
      </w:r>
    </w:p>
    <w:p>
      <w:pPr>
        <w:pStyle w:val="ListParagraph"/>
        <w:numPr>
          <w:ilvl w:val="0"/>
          <w:numId w:val="1"/>
        </w:numPr>
      </w:pPr>
      <w:r>
        <w:t xml:space="preserve">D.</w:t>
      </w:r>
      <w:r>
        <w:tab/>
      </w:r>
      <w:r>
        <w:t xml:space="preserve">Special Permit Regulations All Personal Wireless Service Facilities shall comply with the Performance Standards set forth in this section.</w:t>
      </w:r>
    </w:p>
    <w:p>
      <w:pPr>
        <w:pStyle w:val="ListParagraph"/>
        <w:numPr>
          <w:ilvl w:val="1"/>
          <w:numId w:val="1"/>
        </w:numPr>
      </w:pPr>
      <w:r>
        <w:t xml:space="preserve">1.</w:t>
      </w:r>
      <w:r>
        <w:tab/>
      </w:r>
      <w:r>
        <w:t xml:space="preserve">Design Standards Visibility/Camouflage. Personal Wireless Service Facilities shall be camouflaged as follows:</w:t>
      </w:r>
    </w:p>
    <w:p>
      <w:pPr>
        <w:pStyle w:val="ListParagraph"/>
        <w:numPr>
          <w:ilvl w:val="2"/>
          <w:numId w:val="1"/>
        </w:numPr>
      </w:pPr>
      <w:r>
        <w:t xml:space="preserve">a)</w:t>
      </w:r>
      <w:r>
        <w:tab/>
      </w:r>
      <w:r>
        <w:t xml:space="preserve">Camouflage by Existing Buildings:</w:t>
      </w:r>
    </w:p>
    <w:p>
      <w:pPr>
        <w:pStyle w:val="ListParagraph"/>
        <w:numPr>
          <w:ilvl w:val="2"/>
          <w:numId w:val="1"/>
        </w:numPr>
      </w:pPr>
      <w:r>
        <w:t xml:space="preserve">i)</w:t>
      </w:r>
      <w:r>
        <w:tab/>
      </w:r>
      <w:r>
        <w:t xml:space="preserve">When a Personal Wireless Service Facility extends above the roof height of a building on which it is mounted, every effort shall be made to conceal the Personal Wireless Service Facility within or behind existing architectural features to limit its visibility from adjoining ways. Personal Wireless Service Facilities mounted on a roof shall be stepped back from the front façade in order to limit their impact on the building’s silhouette.</w:t>
      </w:r>
    </w:p>
    <w:p>
      <w:pPr>
        <w:pStyle w:val="ListParagraph"/>
        <w:numPr>
          <w:ilvl w:val="3"/>
          <w:numId w:val="1"/>
        </w:numPr>
      </w:pPr>
      <w:r>
        <w:t xml:space="preserve">ii)</w:t>
      </w:r>
      <w:r>
        <w:tab/>
      </w:r>
      <w:r>
        <w:t xml:space="preserve">Personal Wireless Service Facilities which are side mounted shall blend with the existing building’s architecture and, if over five (5) square feet, shall be painted or shielded with material which is consistent with the design features and materials of the building.</w:t>
      </w:r>
    </w:p>
    <w:p>
      <w:pPr>
        <w:pStyle w:val="ListParagraph"/>
        <w:numPr>
          <w:ilvl w:val="2"/>
          <w:numId w:val="1"/>
        </w:numPr>
      </w:pPr>
      <w:r>
        <w:t xml:space="preserve">b)</w:t>
      </w:r>
      <w:r>
        <w:tab/>
      </w:r>
      <w:r>
        <w:t xml:space="preserve">Camouflage by Vegetation: All ground-mounted Personal Wireless Service Facilities and equipment shelters shall be surrounded by buffers of tree growth and under-story vegetation in all directions to create an effective visual buffer at the street level. Ground-mounted Personal Wireless Service Facilities shall provide a vegetated buffer of sufficient height and depth to effectively screen the Personal Wireless Service Facility at the street level. Trees and vegetation may be existing on the subject property or installed as part of the proposed Personal Wireless Service Facility or a combination of both. The Special Permit Granting Authority (SPGA) shall determine the types of trees and plant materials, depth and overall appropriate design of the needed buffer on site conditions.</w:t>
      </w:r>
    </w:p>
    <w:p>
      <w:pPr>
        <w:pStyle w:val="ListParagraph"/>
        <w:numPr>
          <w:ilvl w:val="2"/>
          <w:numId w:val="1"/>
        </w:numPr>
      </w:pPr>
      <w:r>
        <w:t xml:space="preserve">c)</w:t>
      </w:r>
      <w:r>
        <w:tab/>
      </w:r>
      <w:r>
        <w:t xml:space="preserve">Color:</w:t>
      </w:r>
    </w:p>
    <w:p>
      <w:pPr>
        <w:pStyle w:val="ListParagraph"/>
        <w:numPr>
          <w:ilvl w:val="2"/>
          <w:numId w:val="1"/>
        </w:numPr>
      </w:pPr>
      <w:r>
        <w:t xml:space="preserve">i)</w:t>
      </w:r>
      <w:r>
        <w:tab/>
      </w:r>
      <w:r>
        <w:t xml:space="preserve">Personal Wireless Service Facilities which are side-mounted on buildings shall be painted or constructed of materials to match the color of the building material directly behind them.</w:t>
      </w:r>
    </w:p>
    <w:p>
      <w:pPr>
        <w:pStyle w:val="ListParagraph"/>
        <w:numPr>
          <w:ilvl w:val="3"/>
          <w:numId w:val="1"/>
        </w:numPr>
      </w:pPr>
      <w:r>
        <w:t xml:space="preserve">ii)</w:t>
      </w:r>
      <w:r>
        <w:tab/>
      </w:r>
      <w:r>
        <w:t xml:space="preserve">To the extent that any Personal Wireless Service Facilities extend above the height of the vegetation immediately surrounding it, they shall be painted in a light gray or light blue hue which blends with the sky and clouds.</w:t>
      </w:r>
    </w:p>
    <w:p>
      <w:pPr>
        <w:pStyle w:val="ListParagraph"/>
        <w:numPr>
          <w:ilvl w:val="1"/>
          <w:numId w:val="1"/>
        </w:numPr>
      </w:pPr>
      <w:r>
        <w:t xml:space="preserve">2.</w:t>
      </w:r>
      <w:r>
        <w:tab/>
      </w:r>
      <w:r>
        <w:t xml:space="preserve">Equipment Shelters Equipment shelters for Personal Wireless Service Facilities shall be designed consistent with one of the following design standards:</w:t>
      </w:r>
    </w:p>
    <w:p>
      <w:pPr>
        <w:pStyle w:val="ListParagraph"/>
        <w:numPr>
          <w:ilvl w:val="2"/>
          <w:numId w:val="1"/>
        </w:numPr>
      </w:pPr>
      <w:r>
        <w:t xml:space="preserve">a)</w:t>
      </w:r>
      <w:r>
        <w:tab/>
      </w:r>
      <w:r>
        <w:t xml:space="preserve">Equipment shelters shall be located in underground vaults; or</w:t>
      </w:r>
    </w:p>
    <w:p>
      <w:pPr>
        <w:pStyle w:val="ListParagraph"/>
        <w:numPr>
          <w:ilvl w:val="2"/>
          <w:numId w:val="1"/>
        </w:numPr>
      </w:pPr>
      <w:r>
        <w:t xml:space="preserve">b)</w:t>
      </w:r>
      <w:r>
        <w:tab/>
      </w:r>
      <w:r>
        <w:t xml:space="preserve">Equipment shelters shall be designed in accordance with architectural styles and materials reflective of the uses within a 300 foot radius of the location acceptable to the Special Permit Granting Authority (SPGA); or</w:t>
      </w:r>
    </w:p>
    <w:p>
      <w:pPr>
        <w:pStyle w:val="ListParagraph"/>
        <w:numPr>
          <w:ilvl w:val="2"/>
          <w:numId w:val="1"/>
        </w:numPr>
      </w:pPr>
      <w:r>
        <w:t xml:space="preserve">c)</w:t>
      </w:r>
      <w:r>
        <w:tab/>
      </w:r>
      <w:r>
        <w:t xml:space="preserve">Equipment shelters shall be camouflaged behind an effective year-round landscape buffer, equal to the height of the proposed building, and/or wooden fence. The Special Permit Granting Authority (SPGA) shall determine the style of fencing and/or landscape buffer that is compatible with the neighborhood.</w:t>
      </w:r>
    </w:p>
    <w:p>
      <w:pPr>
        <w:pStyle w:val="ListParagraph"/>
        <w:numPr>
          <w:ilvl w:val="1"/>
          <w:numId w:val="1"/>
        </w:numPr>
      </w:pPr>
      <w:r>
        <w:t xml:space="preserve">3.</w:t>
      </w:r>
      <w:r>
        <w:tab/>
      </w:r>
      <w:r>
        <w:t xml:space="preserve">Lighting and Signage</w:t>
      </w:r>
    </w:p>
    <w:p>
      <w:pPr>
        <w:pStyle w:val="ListParagraph"/>
        <w:numPr>
          <w:ilvl w:val="2"/>
          <w:numId w:val="1"/>
        </w:numPr>
      </w:pPr>
      <w:r>
        <w:t xml:space="preserve">a)</w:t>
      </w:r>
      <w:r>
        <w:tab/>
      </w:r>
      <w:r>
        <w:t xml:space="preserve">Personal Wireless Service Facilities shall be lighted only if required by the Federal Aviation Administration (FAA). Lighting of equipment structures and any other facilities on site shall be shielded from abutting properties. There shall be total cutoff of all light at the property lines of the parcel to be developed, and foot-candle measurements at the property line shall be</w:t>
      </w:r>
    </w:p>
    <w:p>
      <w:pPr>
        <w:pStyle w:val="ListParagraph"/>
        <w:numPr>
          <w:ilvl w:val="0"/>
          <w:numId w:val="1"/>
        </w:numPr>
      </w:pPr>
      <w:r>
        <w:t xml:space="preserve">0.0</w:t>
      </w:r>
      <w:r>
        <w:tab/>
      </w:r>
      <w:r>
        <w:t xml:space="preserve">initial foot-candles when measured at grade.</w:t>
      </w:r>
    </w:p>
    <w:p>
      <w:pPr>
        <w:pStyle w:val="ListParagraph"/>
        <w:numPr>
          <w:ilvl w:val="1"/>
          <w:numId w:val="1"/>
        </w:numPr>
      </w:pPr>
      <w:r>
        <w:t xml:space="preserve">b)</w:t>
      </w:r>
      <w:r>
        <w:tab/>
      </w:r>
      <w:r>
        <w:t xml:space="preserve">Signs shall be limited to those needed to identify the property and the owner and warn of any danger. All signs shall comply with the requirements of</w:t>
      </w:r>
    </w:p>
    <w:p>
      <w:pPr>
        <w:pStyle w:val="Heading3"/>
      </w:pPr>
      <w:r>
        <w:t xml:space="preserve">§ 1. Purpose</w:t>
      </w:r>
    </w:p>
    <w:p>
      <w:r>
        <w:t xml:space="preserve">The purpose of this section is to provide for individual detailed review of development proposals which have an impact upon the natural and built environments of the City and upon the nature and provision of public services including but not limited to transportation, utilities, ways, public safety and education, and upon the general and specific character of the City. The review process is intended to promote the purposes listed in Article I of this Ordinance.</w:t>
      </w:r>
    </w:p>
    <w:p>
      <w:pPr>
        <w:pStyle w:val="Heading3"/>
      </w:pPr>
      <w:r>
        <w:t xml:space="preserve">§ 2. Uses Requiring Site Plan Review</w:t>
      </w:r>
    </w:p>
    <w:p>
      <w:pPr>
        <w:pStyle w:val="ListParagraph"/>
        <w:numPr>
          <w:ilvl w:val="0"/>
          <w:numId w:val="1"/>
        </w:numPr>
      </w:pPr>
      <w:r>
        <w:t xml:space="preserve">A.</w:t>
      </w:r>
      <w:r>
        <w:tab/>
      </w:r>
      <w:r>
        <w:t xml:space="preserve">Any structure and/or outdoor use and/or any substantial improvement, as herein defined, which requires a building permit under the State Building Code and which meets one (1) or more of the threshold standards for scale as set forth in Table 5.1 shall be subject to the site plan review standards and procedures hereinafter specified. This approval must be obtained prior to issuance of the building permit but is not a requirement for the grant of a special permit or variance. Any Accessory Dwelling Unit, or any exterior alterations, exterior additions, and exterior changes including fences, walls, and driveways, to residential uses which are permitted by right in Residential districts, shall be exempt from the requirements of this Section.</w:t>
      </w:r>
    </w:p>
    <w:p>
      <w:pPr>
        <w:pStyle w:val="ListParagraph"/>
        <w:numPr>
          <w:ilvl w:val="0"/>
          <w:numId w:val="1"/>
        </w:numPr>
      </w:pPr>
      <w:r>
        <w:t xml:space="preserve">B.</w:t>
      </w:r>
      <w:r>
        <w:tab/>
      </w:r>
      <w:r>
        <w:t xml:space="preserve">Each lot created on a subdivision plan approved by the planning board under the Subdivision Control Law, shall be subject to the site plan review standards and procedures hereinafter specified, notwithstanding anything in Table 5.1 to the contrary.</w:t>
      </w:r>
    </w:p>
    <w:p>
      <w:pPr>
        <w:pStyle w:val="ListParagraph"/>
        <w:numPr>
          <w:ilvl w:val="0"/>
          <w:numId w:val="1"/>
        </w:numPr>
      </w:pPr>
      <w:r>
        <w:t xml:space="preserve">C.</w:t>
      </w:r>
      <w:r>
        <w:tab/>
      </w:r>
      <w:r>
        <w:t xml:space="preserve">Notwithstanding the site plan review thresholds set forth in Table 5.1, any structure and/or substantial improvement which requires a building permit and will be used and operated as a lodging house shall be subject to the site plan review standards and procedures hereinafter specified. In addition to the threshold standards in Table 5.1, any application for a building permit for the erection of a new building, or for any substantial improvements or rehabilitation of an existing building, which is or is intended to be used as a licensed lodging house, shall require site plan review.</w:t>
      </w:r>
    </w:p>
    <w:p>
      <w:pPr>
        <w:pStyle w:val="ListParagraph"/>
        <w:numPr>
          <w:ilvl w:val="0"/>
          <w:numId w:val="1"/>
        </w:numPr>
      </w:pPr>
      <w:r>
        <w:t xml:space="preserve">D.</w:t>
      </w:r>
      <w:r>
        <w:tab/>
      </w:r>
      <w:r>
        <w:t xml:space="preserve">Improvements related solely to interior work within the structure, façade renovations and the replacement of windows and doors shall be exempt from this Article.</w:t>
      </w:r>
    </w:p>
    <w:p>
      <w:pPr>
        <w:pStyle w:val="ListParagraph"/>
        <w:numPr>
          <w:ilvl w:val="0"/>
          <w:numId w:val="1"/>
        </w:numPr>
      </w:pPr>
      <w:r>
        <w:t xml:space="preserve">E.</w:t>
      </w:r>
      <w:r>
        <w:tab/>
      </w:r>
      <w:r>
        <w:t xml:space="preserve">In addition to the threshold standards in Table 5.1, Site Plan Review must otherwise be obtained when any other provision of this Ordinance expressly requires it.</w:t>
      </w:r>
    </w:p>
    <w:p>
      <w:pPr>
        <w:pStyle w:val="ListParagraph"/>
        <w:numPr>
          <w:ilvl w:val="0"/>
          <w:numId w:val="1"/>
        </w:numPr>
      </w:pPr>
      <w:r>
        <w:t xml:space="preserve">F.</w:t>
      </w:r>
      <w:r>
        <w:tab/>
      </w:r>
      <w:r>
        <w:t xml:space="preserve">Notwithstanding any provisions of this Article to the contrary, site plan review shall not be required for any project or land use for which a Final Environmental Impact Report, filed with the Massachusetts Executive Office of Environmental Affairs, has been certified by the Secretary of Environmental Affairs prior to April 2, 1991 as complying with the Massachusetts Environmental Policy Act, nor shall site plan review be required for any project or land use which requires a special permit in any Priority Development Site, as designated by the City Council pursuant to M.G.L. c. 43D; provided however, that the applicant for such special permit shall submit all of the information required in Article V, Section-4(B), to the Special Permit Granting Authority as part of the required special permit application. TABLE 5.1 - SITE PLAN REVIEW THRESHOLDS CATEGORY SCALE</w:t>
      </w:r>
    </w:p>
    <w:p>
      <w:pPr>
        <w:pStyle w:val="ListParagraph"/>
        <w:numPr>
          <w:ilvl w:val="1"/>
          <w:numId w:val="1"/>
        </w:numPr>
      </w:pPr>
      <w:r>
        <w:t xml:space="preserve">1.</w:t>
      </w:r>
      <w:r>
        <w:tab/>
      </w:r>
      <w:r>
        <w:t xml:space="preserve">Residential 5 or More Dwelling Units (DU)</w:t>
      </w:r>
    </w:p>
    <w:p>
      <w:pPr>
        <w:pStyle w:val="ListParagraph"/>
        <w:numPr>
          <w:ilvl w:val="1"/>
          <w:numId w:val="1"/>
        </w:numPr>
      </w:pPr>
      <w:r>
        <w:t xml:space="preserve">2.</w:t>
      </w:r>
      <w:r>
        <w:tab/>
      </w:r>
      <w:r>
        <w:t xml:space="preserve">Manufacturing 20,000 sq. ft.</w:t>
      </w:r>
    </w:p>
    <w:p>
      <w:pPr>
        <w:pStyle w:val="ListParagraph"/>
        <w:numPr>
          <w:ilvl w:val="1"/>
          <w:numId w:val="1"/>
        </w:numPr>
      </w:pPr>
      <w:r>
        <w:t xml:space="preserve">3.</w:t>
      </w:r>
      <w:r>
        <w:tab/>
      </w:r>
      <w:r>
        <w:t xml:space="preserve">Business 10,000 sq. ft.</w:t>
      </w:r>
    </w:p>
    <w:p>
      <w:pPr>
        <w:pStyle w:val="ListParagraph"/>
        <w:numPr>
          <w:ilvl w:val="1"/>
          <w:numId w:val="1"/>
        </w:numPr>
      </w:pPr>
      <w:r>
        <w:t xml:space="preserve">4.</w:t>
      </w:r>
      <w:r>
        <w:tab/>
      </w:r>
      <w:r>
        <w:t xml:space="preserve">General 15,000 sq. ft.</w:t>
      </w:r>
    </w:p>
    <w:p>
      <w:pPr>
        <w:pStyle w:val="ListParagraph"/>
        <w:numPr>
          <w:ilvl w:val="1"/>
          <w:numId w:val="1"/>
        </w:numPr>
      </w:pPr>
      <w:r>
        <w:t xml:space="preserve">5.</w:t>
      </w:r>
      <w:r>
        <w:tab/>
      </w:r>
      <w:r>
        <w:t xml:space="preserve">Slope* 15% or greater</w:t>
      </w:r>
    </w:p>
    <w:p>
      <w:pPr>
        <w:pStyle w:val="ListParagraph"/>
        <w:numPr>
          <w:ilvl w:val="1"/>
          <w:numId w:val="1"/>
        </w:numPr>
      </w:pPr>
      <w:r>
        <w:t xml:space="preserve">6.</w:t>
      </w:r>
      <w:r>
        <w:tab/>
      </w:r>
      <w:r>
        <w:t xml:space="preserve">Properties listed on the National Registry of Historic Places and Properties abutting National Register sites * The slope threshold is triggered in the following manner:</w:t>
      </w:r>
    </w:p>
    <w:p>
      <w:pPr>
        <w:pStyle w:val="ListParagraph"/>
        <w:numPr>
          <w:ilvl w:val="1"/>
          <w:numId w:val="1"/>
        </w:numPr>
      </w:pPr>
      <w:r>
        <w:t xml:space="preserve">1.</w:t>
      </w:r>
      <w:r>
        <w:tab/>
      </w:r>
      <w:r>
        <w:t xml:space="preserve">Within any area of earth moving and/or earth alteration which contains a slope of 15% or greater.</w:t>
      </w:r>
    </w:p>
    <w:p>
      <w:pPr>
        <w:pStyle w:val="Heading3"/>
      </w:pPr>
      <w:r>
        <w:t xml:space="preserve">§ 3. Procedure</w:t>
      </w:r>
    </w:p>
    <w:p>
      <w:pPr>
        <w:pStyle w:val="ListParagraph"/>
        <w:numPr>
          <w:ilvl w:val="0"/>
          <w:numId w:val="1"/>
        </w:numPr>
      </w:pPr>
      <w:r>
        <w:t xml:space="preserve">A.</w:t>
      </w:r>
      <w:r>
        <w:tab/>
      </w:r>
      <w:r>
        <w:t xml:space="preserve">Administration</w:t>
      </w:r>
    </w:p>
    <w:p>
      <w:pPr>
        <w:pStyle w:val="ListParagraph"/>
        <w:numPr>
          <w:ilvl w:val="1"/>
          <w:numId w:val="1"/>
        </w:numPr>
      </w:pPr>
      <w:r>
        <w:t xml:space="preserve">1.</w:t>
      </w:r>
      <w:r>
        <w:tab/>
      </w:r>
      <w:r>
        <w:t xml:space="preserve">The Planning Board shall review and approve all uses and structures subject to Section-2 above. Approvals require an affirmative vote of three (3) members of the Planning Board. The Planning Board shall adopt reasonable rules and regulations governing the submission, form and procedures for site plan review and shall make them readily available to the public. These rules and regulations shall in no way conflict with other provisions of the laws of the City of Worcester or the Commonwealth of Massachusetts. These rules and regulations shall be guided by the requirements and standards as enunciated in this Article with the Planning Board specifically provided with the necessary latitude to devise such rules and regulations it deems appropriate to achieving the purposes and intent herein provided. These rules and regulations may also provide for time periods for the review of and action on applications, which differ according to the degree of complexity of the application, except that no time period may exceed sixty-five</w:t>
      </w:r>
    </w:p>
    <w:p>
      <w:pPr>
        <w:pStyle w:val="ListParagraph"/>
        <w:numPr>
          <w:ilvl w:val="1"/>
          <w:numId w:val="1"/>
        </w:numPr>
      </w:pPr>
      <w:r>
        <w:t xml:space="preserve">(65)</w:t>
      </w:r>
      <w:r>
        <w:tab/>
      </w:r>
      <w:r>
        <w:t xml:space="preserve">days (excepting an extension mutually agreed upon with the applicant). It is the intent of this provision to ensure timely review for applications.</w:t>
      </w:r>
    </w:p>
    <w:p>
      <w:pPr>
        <w:pStyle w:val="ListParagraph"/>
        <w:numPr>
          <w:ilvl w:val="0"/>
          <w:numId w:val="1"/>
        </w:numPr>
      </w:pPr>
      <w:r>
        <w:t xml:space="preserve">B.</w:t>
      </w:r>
      <w:r>
        <w:tab/>
      </w:r>
      <w:r>
        <w:t xml:space="preserve">Coordination There shall be a site plan review coordination responsibility to assist the Planning Board in carrying out its responsibilities under this Article. The designee of the city manager shall have the responsibility of keeping all records, providing those records for public display, arranging meetings with interested parties and any other duties the Planning Board may wish.</w:t>
      </w:r>
    </w:p>
    <w:p>
      <w:pPr>
        <w:pStyle w:val="ListParagraph"/>
        <w:numPr>
          <w:ilvl w:val="0"/>
          <w:numId w:val="1"/>
        </w:numPr>
      </w:pPr>
      <w:r>
        <w:t xml:space="preserve">C.</w:t>
      </w:r>
      <w:r>
        <w:tab/>
      </w:r>
      <w:r>
        <w:t xml:space="preserve">Fees</w:t>
      </w:r>
    </w:p>
    <w:p>
      <w:pPr>
        <w:pStyle w:val="ListParagraph"/>
        <w:numPr>
          <w:ilvl w:val="1"/>
          <w:numId w:val="1"/>
        </w:numPr>
      </w:pPr>
      <w:r>
        <w:t xml:space="preserve">1.</w:t>
      </w:r>
      <w:r>
        <w:tab/>
      </w:r>
      <w:r>
        <w:t xml:space="preserve">The Planning Board may establish and charge as needed fees for the review of site plan review proposals. These fees shall reflect the time and detail required by the Planning Board and/or its designee(s) to responsibly conduct its review and may include provisions requiring the applicant to bear the costs of any and/or all of the ordinary and/or unusual time and/or services associated with the review.</w:t>
      </w:r>
    </w:p>
    <w:p>
      <w:pPr>
        <w:pStyle w:val="ListParagraph"/>
        <w:numPr>
          <w:ilvl w:val="1"/>
          <w:numId w:val="1"/>
        </w:numPr>
      </w:pPr>
      <w:r>
        <w:t xml:space="preserve">2.</w:t>
      </w:r>
      <w:r>
        <w:tab/>
      </w:r>
      <w:r>
        <w:t xml:space="preserve">The Planning Board may waive fees or site plan approval when such approval is done in conjunction with applications for approval under the Subdivision Control Law.</w:t>
      </w:r>
    </w:p>
    <w:p>
      <w:pPr>
        <w:pStyle w:val="ListParagraph"/>
        <w:numPr>
          <w:ilvl w:val="0"/>
          <w:numId w:val="1"/>
        </w:numPr>
      </w:pPr>
      <w:r>
        <w:t xml:space="preserve">D.</w:t>
      </w:r>
      <w:r>
        <w:tab/>
      </w:r>
      <w:r>
        <w:t xml:space="preserve">Powers In reviewing applications under this Article, the Planning Board may require modification, conditions and safeguards reasonably related to the standards of this Article. The Planning Board may waive and/or modify provisions of its rules and regulations under Section-4(A), where such waivers and/or modifications of these rules and regulations will better achieve the purposes and intent of this Article. The Planning Board shall also have the power to modify or amend its approval of a site plan development proposal upon application of the person owning or leasing the premises or upon its own motion in the event of changes in the physical condition of the site sufficient to justify such action consistent with the intent of this Article. The provisions of this Article shall be applicable to any modifications or amendment of such plan.</w:t>
      </w:r>
    </w:p>
    <w:p>
      <w:pPr>
        <w:pStyle w:val="ListParagraph"/>
        <w:numPr>
          <w:ilvl w:val="0"/>
          <w:numId w:val="1"/>
        </w:numPr>
      </w:pPr>
      <w:r>
        <w:t xml:space="preserve">E.</w:t>
      </w:r>
      <w:r>
        <w:tab/>
      </w:r>
      <w:r>
        <w:t xml:space="preserve">Public Meetings Approval for a site plan may be issued only after a public meeting held within sixty-five</w:t>
      </w:r>
    </w:p>
    <w:p>
      <w:pPr>
        <w:pStyle w:val="ListParagraph"/>
        <w:numPr>
          <w:ilvl w:val="1"/>
          <w:numId w:val="1"/>
        </w:numPr>
      </w:pPr>
      <w:r>
        <w:t xml:space="preserve">(65)</w:t>
      </w:r>
      <w:r>
        <w:tab/>
      </w:r>
      <w:r>
        <w:t xml:space="preserve">days of the filing of an application with the Planning Board. The procedure for public meeting shall be as provided in Massachusetts General Law with the provision that all abutters be notified by mail and as may be further specified in the rules and regulations adopted hereunder by the Planning Board with the following specific provisions:</w:t>
      </w:r>
    </w:p>
    <w:p>
      <w:pPr>
        <w:pStyle w:val="ListParagraph"/>
        <w:numPr>
          <w:ilvl w:val="1"/>
          <w:numId w:val="1"/>
        </w:numPr>
      </w:pPr>
      <w:r>
        <w:t xml:space="preserve">1.</w:t>
      </w:r>
      <w:r>
        <w:tab/>
      </w:r>
      <w:r>
        <w:t xml:space="preserve">It shall be the applicant’s responsibility to prepare the list of names and addresses of all parties of interest to be certified by the City Assessor as defined in Article II, Section 9(B).</w:t>
      </w:r>
    </w:p>
    <w:p>
      <w:pPr>
        <w:pStyle w:val="ListParagraph"/>
        <w:numPr>
          <w:ilvl w:val="1"/>
          <w:numId w:val="1"/>
        </w:numPr>
      </w:pPr>
      <w:r>
        <w:t xml:space="preserve">2.</w:t>
      </w:r>
      <w:r>
        <w:tab/>
      </w:r>
      <w:r>
        <w:t xml:space="preserve">The applicant shall pay the cost of mailing the meeting notices, which shall be done by the city.</w:t>
      </w:r>
    </w:p>
    <w:p>
      <w:pPr>
        <w:pStyle w:val="ListParagraph"/>
        <w:numPr>
          <w:ilvl w:val="0"/>
          <w:numId w:val="1"/>
        </w:numPr>
      </w:pPr>
      <w:r>
        <w:t xml:space="preserve">F.</w:t>
      </w:r>
      <w:r>
        <w:tab/>
      </w:r>
      <w:r>
        <w:t xml:space="preserve">Time Limits Approval under this Article shall become invalid unless the work or action authorized by it shall commence within one year after the Planning Board has granted such approval and thereafter shall proceed in good faith continuously to completion so far as is reasonably practicable under the circumstances. If the work or action so authorized will not have commenced for good cause within one (1) year of its granting, the Planning Board, upon written application and after due notice and a public meeting may grant one (1) or more extensions for time for periods not to exceed two (2) years for each extension.</w:t>
      </w:r>
    </w:p>
    <w:p>
      <w:pPr>
        <w:pStyle w:val="Heading3"/>
      </w:pPr>
      <w:r>
        <w:t xml:space="preserve">§ 4. Application and Submission Requirements</w:t>
      </w:r>
    </w:p>
    <w:p>
      <w:pPr>
        <w:pStyle w:val="ListParagraph"/>
        <w:numPr>
          <w:ilvl w:val="0"/>
          <w:numId w:val="1"/>
        </w:numPr>
      </w:pPr>
      <w:r>
        <w:t xml:space="preserve">A.</w:t>
      </w:r>
      <w:r>
        <w:tab/>
      </w:r>
      <w:r>
        <w:t xml:space="preserve">Preliminary Application At the option of the Applicant, a preliminary application for site plan review shall be submitted for consideration by the Planning Board. A preliminary application shall demonstrate, by a narrative report or schematic drawings, how the proposed development impacts upon each of the standards for review provided herein, with particular reference to the following:</w:t>
      </w:r>
    </w:p>
    <w:p>
      <w:pPr>
        <w:pStyle w:val="ListParagraph"/>
        <w:numPr>
          <w:ilvl w:val="1"/>
          <w:numId w:val="1"/>
        </w:numPr>
      </w:pPr>
      <w:r>
        <w:t xml:space="preserve">1.</w:t>
      </w:r>
      <w:r>
        <w:tab/>
      </w:r>
      <w:r>
        <w:t xml:space="preserve">Any significant natural, topographical or physical features of the property, including but not limited to wetland resource areas as defined in M.G.L. Ch. 131, Section-40;</w:t>
      </w:r>
    </w:p>
    <w:p>
      <w:pPr>
        <w:pStyle w:val="ListParagraph"/>
        <w:numPr>
          <w:ilvl w:val="1"/>
          <w:numId w:val="1"/>
        </w:numPr>
      </w:pPr>
      <w:r>
        <w:t xml:space="preserve">2.</w:t>
      </w:r>
      <w:r>
        <w:tab/>
      </w:r>
      <w:r>
        <w:t xml:space="preserve">The number, use and description of proposed buildings and existing buildings, including height, floor area ratio, total ground coverage and number of dwelling units;</w:t>
      </w:r>
    </w:p>
    <w:p>
      <w:pPr>
        <w:pStyle w:val="ListParagraph"/>
        <w:numPr>
          <w:ilvl w:val="1"/>
          <w:numId w:val="1"/>
        </w:numPr>
      </w:pPr>
      <w:r>
        <w:t xml:space="preserve">3.</w:t>
      </w:r>
      <w:r>
        <w:tab/>
      </w:r>
      <w:r>
        <w:t xml:space="preserve">Dimensions and number of all vehicular and pedestrian circulation elements, including streets and roadways, driveways, entrances, curbs, curb cuts, parking spaces, loading spaces, access aisles, sidewalks, walkways and pathways;</w:t>
      </w:r>
    </w:p>
    <w:p>
      <w:pPr>
        <w:pStyle w:val="ListParagraph"/>
        <w:numPr>
          <w:ilvl w:val="1"/>
          <w:numId w:val="1"/>
        </w:numPr>
      </w:pPr>
      <w:r>
        <w:t xml:space="preserve">4.</w:t>
      </w:r>
      <w:r>
        <w:tab/>
      </w:r>
      <w:r>
        <w:t xml:space="preserve">All existing and proposed surface and subsurface drainage facilities, including detention or retaining ponds;</w:t>
      </w:r>
    </w:p>
    <w:p>
      <w:pPr>
        <w:pStyle w:val="ListParagraph"/>
        <w:numPr>
          <w:ilvl w:val="1"/>
          <w:numId w:val="1"/>
        </w:numPr>
      </w:pPr>
      <w:r>
        <w:t xml:space="preserve">5.</w:t>
      </w:r>
      <w:r>
        <w:tab/>
      </w:r>
      <w:r>
        <w:t xml:space="preserve">The total area of all useable open space or common property and the extent to which it is to be improved;</w:t>
      </w:r>
    </w:p>
    <w:p>
      <w:pPr>
        <w:pStyle w:val="ListParagraph"/>
        <w:numPr>
          <w:ilvl w:val="1"/>
          <w:numId w:val="1"/>
        </w:numPr>
      </w:pPr>
      <w:r>
        <w:t xml:space="preserve">6.</w:t>
      </w:r>
      <w:r>
        <w:tab/>
      </w:r>
      <w:r>
        <w:t xml:space="preserve">Impact upon traffic and pedestrian movement, police and fire protection, water and sewer and public roadways;</w:t>
      </w:r>
    </w:p>
    <w:p>
      <w:pPr>
        <w:pStyle w:val="ListParagraph"/>
        <w:numPr>
          <w:ilvl w:val="1"/>
          <w:numId w:val="1"/>
        </w:numPr>
      </w:pPr>
      <w:r>
        <w:t xml:space="preserve">7.</w:t>
      </w:r>
      <w:r>
        <w:tab/>
      </w:r>
      <w:r>
        <w:t xml:space="preserve">Such other and further information or documentation as the Planning Board may deem to be necessary and appropriate to a full and proper consideration and disposition of the particular application; Within forty-five (45) days of submission of a preliminary application, the Planning Board shall specify in writing that the preliminary application has been approved, that the plan has been approved with modifications suggested by the Planning Board, or the specific issues of potential adverse impacts to the standards set forth for site plan review not resolved by the preliminary application. The Planning Board shall further specify the issues to be addressed by the formal application for site plan review, which description shall supercede the requirement for submittal of a formal application for site plan review.</w:t>
      </w:r>
    </w:p>
    <w:p>
      <w:pPr>
        <w:pStyle w:val="ListParagraph"/>
        <w:numPr>
          <w:ilvl w:val="0"/>
          <w:numId w:val="1"/>
        </w:numPr>
      </w:pPr>
      <w:r>
        <w:t xml:space="preserve">B.</w:t>
      </w:r>
      <w:r>
        <w:tab/>
      </w:r>
      <w:r>
        <w:t xml:space="preserve">Definitive Application An application for definitive site plan review shall be submitted in such form and numbers as required by the Planning Board’s rules and regulations promulgated pursuant to Section- 3(A) above. The rules and regulations shall provide, in part, that sufficient copies be filed with the Planning Board for distribution to the following departments, boards and commissions: Executive Office of the City Manager, Planning &amp; Regulatory Division; Department of Health &amp; Human Services, Code Enforcement Division; Department of Public Works &amp; Facilities, Engineering Services Division, Parks and Recreation Division, Traffic Engineering Division and Conservation Commission; School Department; Law Department; Fire Department; and any other departments, boards and commissions deemed appropriate by the Planning Board. Unless expressly excused in writing by the Planning Board, each application shall contain at least the following information:</w:t>
      </w:r>
    </w:p>
    <w:p>
      <w:pPr>
        <w:pStyle w:val="ListParagraph"/>
        <w:numPr>
          <w:ilvl w:val="1"/>
          <w:numId w:val="1"/>
        </w:numPr>
      </w:pPr>
      <w:r>
        <w:t xml:space="preserve">1.</w:t>
      </w:r>
      <w:r>
        <w:tab/>
      </w:r>
      <w:r>
        <w:t xml:space="preserve">The applicant’s name, address, and interest in the subject property.</w:t>
      </w:r>
    </w:p>
    <w:p>
      <w:pPr>
        <w:pStyle w:val="ListParagraph"/>
        <w:numPr>
          <w:ilvl w:val="1"/>
          <w:numId w:val="1"/>
        </w:numPr>
      </w:pPr>
      <w:r>
        <w:t xml:space="preserve">2.</w:t>
      </w:r>
      <w:r>
        <w:tab/>
      </w:r>
      <w:r>
        <w:t xml:space="preserve">The owner’s name and address, if different than the applicant, and the owner’s signed consent to the filing of the application.</w:t>
      </w:r>
    </w:p>
    <w:p>
      <w:pPr>
        <w:pStyle w:val="ListParagraph"/>
        <w:numPr>
          <w:ilvl w:val="1"/>
          <w:numId w:val="1"/>
        </w:numPr>
      </w:pPr>
      <w:r>
        <w:t xml:space="preserve">3.</w:t>
      </w:r>
      <w:r>
        <w:tab/>
      </w:r>
      <w:r>
        <w:t xml:space="preserve">The street address and/or legal description of the property.</w:t>
      </w:r>
    </w:p>
    <w:p>
      <w:pPr>
        <w:pStyle w:val="ListParagraph"/>
        <w:numPr>
          <w:ilvl w:val="1"/>
          <w:numId w:val="1"/>
        </w:numPr>
      </w:pPr>
      <w:r>
        <w:t xml:space="preserve">4.</w:t>
      </w:r>
      <w:r>
        <w:tab/>
      </w:r>
      <w:r>
        <w:t xml:space="preserve">The zoning classification and present use of the property.</w:t>
      </w:r>
    </w:p>
    <w:p>
      <w:pPr>
        <w:pStyle w:val="ListParagraph"/>
        <w:numPr>
          <w:ilvl w:val="1"/>
          <w:numId w:val="1"/>
        </w:numPr>
      </w:pPr>
      <w:r>
        <w:t xml:space="preserve">5.</w:t>
      </w:r>
      <w:r>
        <w:tab/>
      </w:r>
      <w:r>
        <w:t xml:space="preserve">The proposed use or uses and a description of the proposed development, including as appropriate, descriptions of development, scheduling, operation upon completion and method of maintaining any designated open space.</w:t>
      </w:r>
    </w:p>
    <w:p>
      <w:pPr>
        <w:pStyle w:val="ListParagraph"/>
        <w:numPr>
          <w:ilvl w:val="1"/>
          <w:numId w:val="1"/>
        </w:numPr>
      </w:pPr>
      <w:r>
        <w:t xml:space="preserve">6.</w:t>
      </w:r>
      <w:r>
        <w:tab/>
      </w:r>
      <w:r>
        <w:t xml:space="preserve">An Impact Statement analyzing how the proposed development impacts upon each of the standards for review provided herein, with particular reference to how the proposed development will impact upon the natural, built and operating systems of the City including open space, housing, traffic and pedestrian movement, education, police and fire protection, water, sewer, roads, recreation and other similar amenities.</w:t>
      </w:r>
    </w:p>
    <w:p>
      <w:pPr>
        <w:pStyle w:val="ListParagraph"/>
        <w:numPr>
          <w:ilvl w:val="1"/>
          <w:numId w:val="1"/>
        </w:numPr>
      </w:pPr>
      <w:r>
        <w:t xml:space="preserve">7.</w:t>
      </w:r>
      <w:r>
        <w:tab/>
      </w:r>
      <w:r>
        <w:t xml:space="preserve">A site plan drawn to a scale of not less than forty (40) feet to the inch, on one or more sheets, prepared by a registered engineer, illustrating the proposed development and use with appropriate title block information to identify location, applicant, owner and party responsible for preparing the plan and including the following:</w:t>
      </w:r>
    </w:p>
    <w:p>
      <w:pPr>
        <w:pStyle w:val="ListParagraph"/>
        <w:numPr>
          <w:ilvl w:val="2"/>
          <w:numId w:val="1"/>
        </w:numPr>
      </w:pPr>
      <w:r>
        <w:t xml:space="preserve">a)</w:t>
      </w:r>
      <w:r>
        <w:tab/>
      </w:r>
      <w:r>
        <w:t xml:space="preserve">The boundary lines and dimensions of the subject property, existing subdivision lots, available utilities, easements, roadways, railroads, rail lines and public rights of way, crossing and adjacent to the subject property, a Locus Plan showing the site of the proposed development in relation to the immediate and general street network and such other features of the natural and/or built environment as are relevant to the review of the site plan and a summary of zoning classification and requirements.</w:t>
      </w:r>
    </w:p>
    <w:p>
      <w:pPr>
        <w:pStyle w:val="ListParagraph"/>
        <w:numPr>
          <w:ilvl w:val="2"/>
          <w:numId w:val="1"/>
        </w:numPr>
      </w:pPr>
      <w:r>
        <w:t xml:space="preserve">b)</w:t>
      </w:r>
      <w:r>
        <w:tab/>
      </w:r>
      <w:r>
        <w:t xml:space="preserve">Any proposed regrading of the subject property and any significant natural, topographical or physical features of the property including, at least, watercourses, marshes, floodplain and wetlands, trees in excess of nine (9) inches in diameter, soil types and existing contours at two (2) feet in one hundred (100) feet.</w:t>
      </w:r>
    </w:p>
    <w:p>
      <w:pPr>
        <w:pStyle w:val="ListParagraph"/>
        <w:numPr>
          <w:ilvl w:val="2"/>
          <w:numId w:val="1"/>
        </w:numPr>
      </w:pPr>
      <w:r>
        <w:t xml:space="preserve">c)</w:t>
      </w:r>
      <w:r>
        <w:tab/>
      </w:r>
      <w:r>
        <w:t xml:space="preserve">The location, size, use attributes and arrangement, including height in stories and feet, floor area ratio, total floor area, total square feet of ground area coverage, number and size of dwelling units by number of bedrooms, exterior materials and elevations at appropriate scale, of proposed buildings and existing buildings which will remain, if any.</w:t>
      </w:r>
    </w:p>
    <w:p>
      <w:pPr>
        <w:pStyle w:val="ListParagraph"/>
        <w:numPr>
          <w:ilvl w:val="2"/>
          <w:numId w:val="1"/>
        </w:numPr>
      </w:pPr>
      <w:r>
        <w:t xml:space="preserve">d)</w:t>
      </w:r>
      <w:r>
        <w:tab/>
      </w:r>
      <w:r>
        <w:t xml:space="preserve">Minimum yard dimensions and, where relevant, relation of yard dimensions to the height of any building or structure.</w:t>
      </w:r>
    </w:p>
    <w:p>
      <w:pPr>
        <w:pStyle w:val="ListParagraph"/>
        <w:numPr>
          <w:ilvl w:val="2"/>
          <w:numId w:val="1"/>
        </w:numPr>
      </w:pPr>
      <w:r>
        <w:t xml:space="preserve">e)</w:t>
      </w:r>
      <w:r>
        <w:tab/>
      </w:r>
      <w:r>
        <w:t xml:space="preserve">Location, dimensions, number and construction materials of all vehicular and pedestrian circulation elements, including streets and roadways, driveways, entrances, curbs, curb cuts, parking spaces, loading spaces, access aisles, sidewalks, walkways and pathways.</w:t>
      </w:r>
    </w:p>
    <w:p>
      <w:pPr>
        <w:pStyle w:val="ListParagraph"/>
        <w:numPr>
          <w:ilvl w:val="2"/>
          <w:numId w:val="1"/>
        </w:numPr>
      </w:pPr>
      <w:r>
        <w:t xml:space="preserve">f)</w:t>
      </w:r>
      <w:r>
        <w:tab/>
      </w:r>
      <w:r>
        <w:t xml:space="preserve">All existing and proposed surface and subsurface drainage facilities, including detention or retaining ponds. Drainage calculations with data on pre-development and post-development conditions to be provided.</w:t>
      </w:r>
    </w:p>
    <w:p>
      <w:pPr>
        <w:pStyle w:val="ListParagraph"/>
        <w:numPr>
          <w:ilvl w:val="2"/>
          <w:numId w:val="1"/>
        </w:numPr>
      </w:pPr>
      <w:r>
        <w:t xml:space="preserve">g)</w:t>
      </w:r>
      <w:r>
        <w:tab/>
      </w:r>
      <w:r>
        <w:t xml:space="preserve">Location, size and arrangement of all signs and lighting.</w:t>
      </w:r>
    </w:p>
    <w:p>
      <w:pPr>
        <w:pStyle w:val="ListParagraph"/>
        <w:numPr>
          <w:ilvl w:val="2"/>
          <w:numId w:val="1"/>
        </w:numPr>
      </w:pPr>
      <w:r>
        <w:t xml:space="preserve">h)</w:t>
      </w:r>
      <w:r>
        <w:tab/>
      </w:r>
      <w:r>
        <w:t xml:space="preserve">Proposed landscaping (noting how the existing vegetation is to be retained and used) including the type, location and quantity of all plant materials, location and height of fences or screen plantings and the type or kind of building materials or plantings to be used for fencing and screening.</w:t>
      </w:r>
    </w:p>
    <w:p>
      <w:pPr>
        <w:pStyle w:val="ListParagraph"/>
        <w:numPr>
          <w:ilvl w:val="2"/>
          <w:numId w:val="1"/>
        </w:numPr>
      </w:pPr>
      <w:r>
        <w:t xml:space="preserve">i)</w:t>
      </w:r>
      <w:r>
        <w:tab/>
      </w:r>
      <w:r>
        <w:t xml:space="preserve">Location, designation and total area of all useable open space or common property and the extent to which it is to be improved.</w:t>
      </w:r>
    </w:p>
    <w:p>
      <w:pPr>
        <w:pStyle w:val="ListParagraph"/>
        <w:numPr>
          <w:ilvl w:val="2"/>
          <w:numId w:val="1"/>
        </w:numPr>
      </w:pPr>
      <w:r>
        <w:t xml:space="preserve">j)</w:t>
      </w:r>
      <w:r>
        <w:tab/>
      </w:r>
      <w:r>
        <w:t xml:space="preserve">Methods and location of erosion and sedimentation control devices for controlling erosion and sedimentation during the construction process as well as after.</w:t>
      </w:r>
    </w:p>
    <w:p>
      <w:pPr>
        <w:pStyle w:val="ListParagraph"/>
        <w:numPr>
          <w:ilvl w:val="2"/>
          <w:numId w:val="1"/>
        </w:numPr>
      </w:pPr>
      <w:r>
        <w:t xml:space="preserve">k)</w:t>
      </w:r>
      <w:r>
        <w:tab/>
      </w:r>
      <w:r>
        <w:t xml:space="preserve">Such other and further information or documentation as the Planning Board may deem to be necessary and appropriate to a full and proper consideration and disposition of the particular application. As part of the rules and regulations to be promulgated for this Article, the Planning Board shall identify, by development scale and lot characteristics, the type and form of such information or documentation.</w:t>
      </w:r>
    </w:p>
    <w:p>
      <w:pPr>
        <w:pStyle w:val="Heading3"/>
      </w:pPr>
      <w:r>
        <w:t xml:space="preserve">§ 5. Application Approval Process</w:t>
      </w:r>
    </w:p>
    <w:p>
      <w:pPr>
        <w:pStyle w:val="ListParagraph"/>
        <w:numPr>
          <w:ilvl w:val="0"/>
          <w:numId w:val="1"/>
        </w:numPr>
      </w:pPr>
      <w:r>
        <w:t xml:space="preserve">A.</w:t>
      </w:r>
      <w:r>
        <w:tab/>
      </w:r>
      <w:r>
        <w:t xml:space="preserve">Procedure The Planning Board shall examine the application for site plan review and all other pertinent information including that which is gathered in meeting(s) on the application and shall consider the recommendations and/or comments of City departments, commissions and/or other agencies.</w:t>
      </w:r>
    </w:p>
    <w:p>
      <w:pPr>
        <w:pStyle w:val="ListParagraph"/>
        <w:numPr>
          <w:ilvl w:val="0"/>
          <w:numId w:val="1"/>
        </w:numPr>
      </w:pPr>
      <w:r>
        <w:t xml:space="preserve">B.</w:t>
      </w:r>
      <w:r>
        <w:tab/>
      </w:r>
      <w:r>
        <w:t xml:space="preserve">Standards For Review The following standards shall be used by the Planning Board in reviewing all applications for site plan review. These standards are intended to provide a frame of reference for the applicant in development of applications. These standards shall not be regarded as inflexible requirements. They are not intended to discourage creativity, invention or innovation. Applicants are encouraged to evaluate the extent to which the site plan, its immediate and general locus and the City more generally can tolerate the development being proposed and adjust their proposals accordingly.</w:t>
      </w:r>
    </w:p>
    <w:p>
      <w:pPr>
        <w:pStyle w:val="ListParagraph"/>
        <w:numPr>
          <w:ilvl w:val="1"/>
          <w:numId w:val="1"/>
        </w:numPr>
      </w:pPr>
      <w:r>
        <w:t xml:space="preserve">1.</w:t>
      </w:r>
      <w:r>
        <w:tab/>
      </w:r>
      <w:r>
        <w:t xml:space="preserve">Adequacy and arrangement of vehicular traffic access and circulation including intersections, road widths, pavement surfaces, dividers and traffic controls.</w:t>
      </w:r>
    </w:p>
    <w:p>
      <w:pPr>
        <w:pStyle w:val="ListParagraph"/>
        <w:numPr>
          <w:ilvl w:val="1"/>
          <w:numId w:val="1"/>
        </w:numPr>
      </w:pPr>
      <w:r>
        <w:t xml:space="preserve">2.</w:t>
      </w:r>
      <w:r>
        <w:tab/>
      </w:r>
      <w:r>
        <w:t xml:space="preserve">Adequacy and arrangement of pedestrian traffic access and circulation, walkway structures, control of intersections with vehicular traffic and overall pedestrian convenience.</w:t>
      </w:r>
    </w:p>
    <w:p>
      <w:pPr>
        <w:pStyle w:val="ListParagraph"/>
        <w:numPr>
          <w:ilvl w:val="1"/>
          <w:numId w:val="1"/>
        </w:numPr>
      </w:pPr>
      <w:r>
        <w:t xml:space="preserve">3.</w:t>
      </w:r>
      <w:r>
        <w:tab/>
      </w:r>
      <w:r>
        <w:t xml:space="preserve">Location, arrangement, appearance and sufficiency of off-street parking and loading.</w:t>
      </w:r>
    </w:p>
    <w:p>
      <w:pPr>
        <w:pStyle w:val="ListParagraph"/>
        <w:numPr>
          <w:ilvl w:val="1"/>
          <w:numId w:val="1"/>
        </w:numPr>
      </w:pPr>
      <w:r>
        <w:t xml:space="preserve">4.</w:t>
      </w:r>
      <w:r>
        <w:tab/>
      </w:r>
      <w:r>
        <w:t xml:space="preserve">Location, arrangement, size, design and general site compatibility of buildings, lighting and signs.</w:t>
      </w:r>
    </w:p>
    <w:p>
      <w:pPr>
        <w:pStyle w:val="ListParagraph"/>
        <w:numPr>
          <w:ilvl w:val="1"/>
          <w:numId w:val="1"/>
        </w:numPr>
      </w:pPr>
      <w:r>
        <w:t xml:space="preserve">5.</w:t>
      </w:r>
      <w:r>
        <w:tab/>
      </w:r>
      <w:r>
        <w:t xml:space="preserve">Adequacy of stormwater and drainage facilities.</w:t>
      </w:r>
    </w:p>
    <w:p>
      <w:pPr>
        <w:pStyle w:val="ListParagraph"/>
        <w:numPr>
          <w:ilvl w:val="1"/>
          <w:numId w:val="1"/>
        </w:numPr>
      </w:pPr>
      <w:r>
        <w:t xml:space="preserve">6.</w:t>
      </w:r>
      <w:r>
        <w:tab/>
      </w:r>
      <w:r>
        <w:t xml:space="preserve">Adequacy of water supply and sewerage disposal facilities.</w:t>
      </w:r>
    </w:p>
    <w:p>
      <w:pPr>
        <w:pStyle w:val="ListParagraph"/>
        <w:numPr>
          <w:ilvl w:val="1"/>
          <w:numId w:val="1"/>
        </w:numPr>
      </w:pPr>
      <w:r>
        <w:t xml:space="preserve">7.</w:t>
      </w:r>
      <w:r>
        <w:tab/>
      </w:r>
      <w:r>
        <w:t xml:space="preserve">Adequacy, type and arrangement of trees, shrubs and other landscaping elements in accordance with the Landscaping Design Standards set forth in Article V, Section-5(C).</w:t>
      </w:r>
    </w:p>
    <w:p>
      <w:pPr>
        <w:pStyle w:val="ListParagraph"/>
        <w:numPr>
          <w:ilvl w:val="1"/>
          <w:numId w:val="1"/>
        </w:numPr>
      </w:pPr>
      <w:r>
        <w:t xml:space="preserve">8.</w:t>
      </w:r>
      <w:r>
        <w:tab/>
      </w:r>
      <w:r>
        <w:t xml:space="preserve">In the case of an apartment complex or other multiple dwelling, the adequacy of useable common property or open space.</w:t>
      </w:r>
    </w:p>
    <w:p>
      <w:pPr>
        <w:pStyle w:val="ListParagraph"/>
        <w:numPr>
          <w:ilvl w:val="1"/>
          <w:numId w:val="1"/>
        </w:numPr>
      </w:pPr>
      <w:r>
        <w:t xml:space="preserve">9.</w:t>
      </w:r>
      <w:r>
        <w:tab/>
      </w:r>
      <w:r>
        <w:t xml:space="preserve">Protection of adjacent or neighboring properties against noise, glare, unsightliness or other objectionable features.</w:t>
      </w:r>
    </w:p>
    <w:p>
      <w:pPr>
        <w:pStyle w:val="ListParagraph"/>
        <w:numPr>
          <w:ilvl w:val="1"/>
          <w:numId w:val="1"/>
        </w:numPr>
      </w:pPr>
      <w:r>
        <w:t xml:space="preserve">10.</w:t>
      </w:r>
      <w:r>
        <w:tab/>
      </w:r>
      <w:r>
        <w:t xml:space="preserve">Adequacy of fire lanes and other emergency zones and the provisions of fire hydrants.</w:t>
      </w:r>
    </w:p>
    <w:p>
      <w:pPr>
        <w:pStyle w:val="ListParagraph"/>
        <w:numPr>
          <w:ilvl w:val="1"/>
          <w:numId w:val="1"/>
        </w:numPr>
      </w:pPr>
      <w:r>
        <w:t xml:space="preserve">11.</w:t>
      </w:r>
      <w:r>
        <w:tab/>
      </w:r>
      <w:r>
        <w:t xml:space="preserve">Special attention to the adequacy of structures, roadways and landscaping in areas with susceptibility to ponding, flooding and/or erosion.</w:t>
      </w:r>
    </w:p>
    <w:p>
      <w:pPr>
        <w:pStyle w:val="ListParagraph"/>
        <w:numPr>
          <w:ilvl w:val="1"/>
          <w:numId w:val="1"/>
        </w:numPr>
      </w:pPr>
      <w:r>
        <w:t xml:space="preserve">12.</w:t>
      </w:r>
      <w:r>
        <w:tab/>
      </w:r>
      <w:r>
        <w:t xml:space="preserve">Adequacy of erosion and sedimentation control measures to be utilized during and after construction.</w:t>
      </w:r>
    </w:p>
    <w:p>
      <w:pPr>
        <w:pStyle w:val="ListParagraph"/>
        <w:numPr>
          <w:ilvl w:val="1"/>
          <w:numId w:val="1"/>
        </w:numPr>
      </w:pPr>
      <w:r>
        <w:t xml:space="preserve">13.</w:t>
      </w:r>
      <w:r>
        <w:tab/>
      </w:r>
      <w:r>
        <w:t xml:space="preserve">Conformance of the site design with the purposes and intent of the Worcester Zoning Ordinance.</w:t>
      </w:r>
    </w:p>
    <w:p>
      <w:pPr>
        <w:pStyle w:val="ListParagraph"/>
        <w:numPr>
          <w:ilvl w:val="1"/>
          <w:numId w:val="1"/>
        </w:numPr>
      </w:pPr>
      <w:r>
        <w:t xml:space="preserve">14.</w:t>
      </w:r>
      <w:r>
        <w:tab/>
      </w:r>
      <w:r>
        <w:t xml:space="preserve">Conformance and compatibility of the site plan design with structures listed in the most recent State Register of Historic Places.</w:t>
      </w:r>
    </w:p>
    <w:p>
      <w:pPr>
        <w:pStyle w:val="ListParagraph"/>
        <w:numPr>
          <w:ilvl w:val="1"/>
          <w:numId w:val="1"/>
        </w:numPr>
      </w:pPr>
      <w:r>
        <w:t xml:space="preserve">15.</w:t>
      </w:r>
      <w:r>
        <w:tab/>
      </w:r>
      <w:r>
        <w:t xml:space="preserve">Adequacy and impact on the regional transportation system.</w:t>
      </w:r>
    </w:p>
    <w:p>
      <w:pPr>
        <w:pStyle w:val="ListParagraph"/>
        <w:numPr>
          <w:ilvl w:val="1"/>
          <w:numId w:val="1"/>
        </w:numPr>
      </w:pPr>
      <w:r>
        <w:t xml:space="preserve">16.</w:t>
      </w:r>
      <w:r>
        <w:tab/>
      </w:r>
      <w:r>
        <w:t xml:space="preserve">Adequacy of plans and protective measures to ensure minimal risk of contamination to surface or ground water.</w:t>
      </w:r>
    </w:p>
    <w:p>
      <w:pPr>
        <w:pStyle w:val="ListParagraph"/>
        <w:numPr>
          <w:ilvl w:val="0"/>
          <w:numId w:val="1"/>
        </w:numPr>
      </w:pPr>
      <w:r>
        <w:t xml:space="preserve">C.</w:t>
      </w:r>
      <w:r>
        <w:tab/>
      </w:r>
      <w:r>
        <w:t xml:space="preserve">Landscaping Design Standards</w:t>
      </w:r>
    </w:p>
    <w:p>
      <w:pPr>
        <w:pStyle w:val="ListParagraph"/>
        <w:numPr>
          <w:ilvl w:val="1"/>
          <w:numId w:val="1"/>
        </w:numPr>
      </w:pPr>
      <w:r>
        <w:t xml:space="preserve">1.</w:t>
      </w:r>
      <w:r>
        <w:tab/>
      </w:r>
      <w:r>
        <w:t xml:space="preserve">Landscape Screening</w:t>
      </w:r>
    </w:p>
    <w:p>
      <w:pPr>
        <w:pStyle w:val="ListParagraph"/>
        <w:numPr>
          <w:ilvl w:val="2"/>
          <w:numId w:val="1"/>
        </w:numPr>
      </w:pPr>
      <w:r>
        <w:t xml:space="preserve">a.</w:t>
      </w:r>
      <w:r>
        <w:tab/>
      </w:r>
      <w:r>
        <w:t xml:space="preserve">Landscape screening shall be required along the sidewalk edge and side lot lines where the parking, work or service area of a proposed project abuts a street, public park or residential property.</w:t>
      </w:r>
    </w:p>
    <w:p>
      <w:pPr>
        <w:pStyle w:val="ListParagraph"/>
        <w:numPr>
          <w:ilvl w:val="2"/>
          <w:numId w:val="1"/>
        </w:numPr>
      </w:pPr>
      <w:r>
        <w:t xml:space="preserve">b.</w:t>
      </w:r>
      <w:r>
        <w:tab/>
      </w:r>
      <w:r>
        <w:t xml:space="preserve">Landscaping screening shall consist of planting areas at least five (5) feet wide located along the sidewalk edge and/or side lot lines of a proposed use. Landscape screening areas shall be separated from parking areas by a six- inch high curb. Trees shall be the major elements of landscape screening. A combination of plant materials, trees and shrubs shall be included in landscape screening areas. Fencing may be used, in combination with trees and shrubs, when appropriate.</w:t>
      </w:r>
    </w:p>
    <w:p>
      <w:pPr>
        <w:pStyle w:val="ListParagraph"/>
        <w:numPr>
          <w:ilvl w:val="2"/>
          <w:numId w:val="1"/>
        </w:numPr>
      </w:pPr>
      <w:r>
        <w:t xml:space="preserve">i)</w:t>
      </w:r>
      <w:r>
        <w:tab/>
      </w:r>
      <w:r>
        <w:t xml:space="preserve">Trees Trees shall be planted every twenty (20) to twenty-five (25) feet on center. Trees to be planted shall have trunks at least three (3) to three and one-half (3 1/2) inches in diameter when measured six (6) inches above the ground. Recommended species of trees include, but are not limited to: Acer Pseudoplatanus (Sycamore Maple) Acer rubrum (Red Maple) Pyrus calleryana ‘Aristocrat’ (Aristrocrat Callery Pear) Gleditsia tricanthos var. Inermis (Honey Locust) Gingko biloba, ‘Magyar’ or ‘Sentry’ varieties (Maidenfern Tree) Platanus acerifola x hybrida ‘bloodgood’ (Bloodgood London Plane) Tila tomentosa (Silver Linden) Sophora japonica (Scholar Tree) Zeklova serrata (Zelkoiva)</w:t>
      </w:r>
    </w:p>
    <w:p>
      <w:pPr>
        <w:pStyle w:val="ListParagraph"/>
        <w:numPr>
          <w:ilvl w:val="3"/>
          <w:numId w:val="1"/>
        </w:numPr>
      </w:pPr>
      <w:r>
        <w:t xml:space="preserve">ii)</w:t>
      </w:r>
      <w:r>
        <w:tab/>
      </w:r>
      <w:r>
        <w:t xml:space="preserve">Shrubs</w:t>
      </w:r>
    </w:p>
    <w:p>
      <w:pPr>
        <w:ind w:left="2055"/>
      </w:pPr>
      <w:r>
        <w:t xml:space="preserve">Shrubs shall be planted along with trees in a landscape screening area. Shrubs may be deciduous or evergreen, or a mixture of both types, and shall be densely planted to provide a mature appearance within three (3) years. For landscape screening areas along a sidewalk edge, shrubs shall be no taller than four (4) feet high. Recommended species include, but are not limited to: Euonymous alatur (Winged Euonymous) Taxus x media (Hicksii or Hatfield Yew) Prunus x cistena (Purple Leafed Sand Cherry) Ilex crenata ‘Convexa’ (Japanese Holly) For landscape screening areas which abut adjacent residential uses, shrubs may be up to seven (7) feet in height to provide a more effective buffer between land uses. Recommended species include, but are not limited to: Viburnum trilobum (American Cranberry Bush) Ligustrum amurense (Privet) Thuja occidentalis (Evergreen Eastern Arborvitae) Philodelphus coronarius (Mock Orange) Tsuga canadensis (Eastern Hemlock)</w:t>
      </w:r>
    </w:p>
    <w:p>
      <w:pPr>
        <w:pStyle w:val="ListParagraph"/>
        <w:numPr>
          <w:ilvl w:val="3"/>
          <w:numId w:val="1"/>
        </w:numPr>
      </w:pPr>
      <w:r>
        <w:t xml:space="preserve">iii)</w:t>
      </w:r>
      <w:r>
        <w:tab/>
      </w:r>
      <w:r>
        <w:t xml:space="preserve">Fencing Fencing in a landscape screening area along a sidewalk edge shall be installed just inside the property line. Such fence shall be three (3) to four</w:t>
      </w:r>
    </w:p>
    <w:p>
      <w:pPr>
        <w:pStyle w:val="ListParagraph"/>
        <w:numPr>
          <w:ilvl w:val="1"/>
          <w:numId w:val="1"/>
        </w:numPr>
      </w:pPr>
      <w:r>
        <w:t xml:space="preserve">(4)</w:t>
      </w:r>
      <w:r>
        <w:tab/>
      </w:r>
      <w:r>
        <w:t xml:space="preserve">feet in height and at least fifty percent (50%) perforated. Decorative appropriate for sidewalk edges. A landscape screening area adjacent to an abutting residential use shall be four (4) to seven (7) feet in height. Fencing shall be located up to or within a three-foot distance from the property line. Such fencing shall be opaque. High fences that cover long distances shall have surface textures to minimize their size. A wooden shadowbox fence is an effective screen between properties. In general, chain link fencing is to be discouraged. If chain link fencing is used, it shall be limited to small areas and shall be vinyl-coated chain link. The Planning Board shall determine the color of the vinyl coating to be used.</w:t>
      </w:r>
    </w:p>
    <w:p>
      <w:pPr>
        <w:pStyle w:val="ListParagraph"/>
        <w:numPr>
          <w:ilvl w:val="2"/>
          <w:numId w:val="1"/>
        </w:numPr>
      </w:pPr>
      <w:r>
        <w:t xml:space="preserve">iv)</w:t>
      </w:r>
      <w:r>
        <w:tab/>
      </w:r>
      <w:r>
        <w:t xml:space="preserve">Maintenance of Landscaped Areas Required landscaping shall be maintained in a healthy growing condition, free of refuse and debris, and any plantings that do not survive shall be replaced in kind by the applicant or property owner within a reasonable period of time. All plant material and fencing shall be arranged and maintained so as not to obscure the vision of traffic. There shall be no parking of vehicles or snow storage in areas used for screening and buffering.</w:t>
      </w:r>
    </w:p>
    <w:p>
      <w:pPr>
        <w:pStyle w:val="ListParagraph"/>
        <w:numPr>
          <w:ilvl w:val="0"/>
          <w:numId w:val="1"/>
        </w:numPr>
      </w:pPr>
      <w:r>
        <w:t xml:space="preserve">D.</w:t>
      </w:r>
      <w:r>
        <w:tab/>
      </w:r>
      <w:r>
        <w:t xml:space="preserve">Standards For Approval Or Disapproval The Planning Board shall make a finding of approval, approval with conditions or disapproval. The Planning Board shall not disapprove an application for site plan review except on the basis of specific written findings directed to one (1) or more of the standards as provided above. To the maximum extent possible an applicant shall be provided an opportunity to supply corrections and/or additions on development proposal particulars, especially those which contain or reveal violations of this Ordinance or other applicable regulations.</w:t>
      </w:r>
    </w:p>
    <w:p>
      <w:pPr>
        <w:pStyle w:val="Heading2"/>
      </w:pPr>
      <w:r>
        <w:t xml:space="preserve">Article VI. Floodplain Overlay District</w:t>
      </w:r>
    </w:p>
    <w:p>
      <w:pPr>
        <w:pStyle w:val="Heading3"/>
      </w:pPr>
      <w:r>
        <w:t xml:space="preserve">§ 5. Administrative Authority of the Director of Code</w:t>
      </w:r>
    </w:p>
    <w:p>
      <w:r>
        <w:t xml:space="preserve">Enforcement in the Floodplain Overlay District</w:t>
      </w:r>
    </w:p>
    <w:p>
      <w:pPr>
        <w:pStyle w:val="Heading3"/>
      </w:pPr>
      <w:r>
        <w:t xml:space="preserve">§ 1. Purpose</w:t>
      </w:r>
    </w:p>
    <w:p>
      <w:pPr>
        <w:pStyle w:val="ListParagraph"/>
        <w:numPr>
          <w:ilvl w:val="0"/>
          <w:numId w:val="1"/>
        </w:numPr>
      </w:pPr>
      <w:r>
        <w:t xml:space="preserve">A.</w:t>
      </w:r>
      <w:r>
        <w:tab/>
      </w:r>
      <w:r>
        <w:t xml:space="preserve">The purposes of this Article are as follows:</w:t>
      </w:r>
    </w:p>
    <w:p>
      <w:pPr>
        <w:pStyle w:val="ListParagraph"/>
        <w:numPr>
          <w:ilvl w:val="1"/>
          <w:numId w:val="1"/>
        </w:numPr>
      </w:pPr>
      <w:r>
        <w:t xml:space="preserve">1.</w:t>
      </w:r>
      <w:r>
        <w:tab/>
      </w:r>
      <w:r>
        <w:t xml:space="preserve">To preserve, protect and maintain floodplains.</w:t>
      </w:r>
    </w:p>
    <w:p>
      <w:pPr>
        <w:pStyle w:val="ListParagraph"/>
        <w:numPr>
          <w:ilvl w:val="1"/>
          <w:numId w:val="1"/>
        </w:numPr>
      </w:pPr>
      <w:r>
        <w:t xml:space="preserve">2.</w:t>
      </w:r>
      <w:r>
        <w:tab/>
      </w:r>
      <w:r>
        <w:t xml:space="preserve">To ensure public safety through reducing the threats to life and personal injury.</w:t>
      </w:r>
    </w:p>
    <w:p>
      <w:pPr>
        <w:pStyle w:val="ListParagraph"/>
        <w:numPr>
          <w:ilvl w:val="1"/>
          <w:numId w:val="1"/>
        </w:numPr>
      </w:pPr>
      <w:r>
        <w:t xml:space="preserve">3.</w:t>
      </w:r>
      <w:r>
        <w:tab/>
      </w:r>
      <w:r>
        <w:t xml:space="preserve">To reduce damage to public and private property resulting from flooding waters.</w:t>
      </w:r>
    </w:p>
    <w:p>
      <w:pPr>
        <w:pStyle w:val="ListParagraph"/>
        <w:numPr>
          <w:ilvl w:val="1"/>
          <w:numId w:val="1"/>
        </w:numPr>
      </w:pPr>
      <w:r>
        <w:t xml:space="preserve">4.</w:t>
      </w:r>
      <w:r>
        <w:tab/>
      </w:r>
      <w:r>
        <w:t xml:space="preserve">To control land uses which cause damaging increase in erosion, siltation, turbidity, flood heights and flood velocities.</w:t>
      </w:r>
    </w:p>
    <w:p>
      <w:pPr>
        <w:pStyle w:val="ListParagraph"/>
        <w:numPr>
          <w:ilvl w:val="1"/>
          <w:numId w:val="1"/>
        </w:numPr>
      </w:pPr>
      <w:r>
        <w:t xml:space="preserve">5.</w:t>
      </w:r>
      <w:r>
        <w:tab/>
      </w:r>
      <w:r>
        <w:t xml:space="preserve">To preserve the natural flow pattern of watercourses providing safe and adequate flood water storage and runoff capacity.</w:t>
      </w:r>
    </w:p>
    <w:p>
      <w:pPr>
        <w:pStyle w:val="ListParagraph"/>
        <w:numPr>
          <w:ilvl w:val="1"/>
          <w:numId w:val="1"/>
        </w:numPr>
      </w:pPr>
      <w:r>
        <w:t xml:space="preserve">6.</w:t>
      </w:r>
      <w:r>
        <w:tab/>
      </w:r>
      <w:r>
        <w:t xml:space="preserve">To protect, preserve and maintain the water table and water recharge areas.</w:t>
      </w:r>
    </w:p>
    <w:p>
      <w:pPr>
        <w:pStyle w:val="ListParagraph"/>
        <w:numPr>
          <w:ilvl w:val="1"/>
          <w:numId w:val="1"/>
        </w:numPr>
      </w:pPr>
      <w:r>
        <w:t xml:space="preserve">7.</w:t>
      </w:r>
      <w:r>
        <w:tab/>
      </w:r>
      <w:r>
        <w:t xml:space="preserve">To encourage a suitable system of ponding areas to permit the temporary retention of water runoff.</w:t>
      </w:r>
    </w:p>
    <w:p>
      <w:pPr>
        <w:pStyle w:val="ListParagraph"/>
        <w:numPr>
          <w:ilvl w:val="1"/>
          <w:numId w:val="1"/>
        </w:numPr>
      </w:pPr>
      <w:r>
        <w:t xml:space="preserve">8.</w:t>
      </w:r>
      <w:r>
        <w:tab/>
      </w:r>
      <w:r>
        <w:t xml:space="preserve">To prevent the development of structures unfit for human usage by reason of danger from flooding, unsanitary conditions or other hazards.</w:t>
      </w:r>
    </w:p>
    <w:p>
      <w:pPr>
        <w:pStyle w:val="ListParagraph"/>
        <w:numPr>
          <w:ilvl w:val="1"/>
          <w:numId w:val="1"/>
        </w:numPr>
      </w:pPr>
      <w:r>
        <w:t xml:space="preserve">9.</w:t>
      </w:r>
      <w:r>
        <w:tab/>
      </w:r>
      <w:r>
        <w:t xml:space="preserve">To consider floodplain management programs in neighboring areas.</w:t>
      </w:r>
    </w:p>
    <w:p>
      <w:pPr>
        <w:pStyle w:val="ListParagraph"/>
        <w:numPr>
          <w:ilvl w:val="1"/>
          <w:numId w:val="1"/>
        </w:numPr>
      </w:pPr>
      <w:r>
        <w:t xml:space="preserve">10.</w:t>
      </w:r>
      <w:r>
        <w:tab/>
      </w:r>
      <w:r>
        <w:t xml:space="preserve">To help preserve and enhance property values.</w:t>
      </w:r>
    </w:p>
    <w:p>
      <w:pPr>
        <w:pStyle w:val="ListParagraph"/>
        <w:numPr>
          <w:ilvl w:val="1"/>
          <w:numId w:val="1"/>
        </w:numPr>
      </w:pPr>
      <w:r>
        <w:t xml:space="preserve">11.</w:t>
      </w:r>
      <w:r>
        <w:tab/>
      </w:r>
      <w:r>
        <w:t xml:space="preserve">To provide for public awareness of the flooding potential.</w:t>
      </w:r>
    </w:p>
    <w:p>
      <w:pPr>
        <w:pStyle w:val="ListParagraph"/>
        <w:numPr>
          <w:ilvl w:val="1"/>
          <w:numId w:val="1"/>
        </w:numPr>
      </w:pPr>
      <w:r>
        <w:t xml:space="preserve">12.</w:t>
      </w:r>
      <w:r>
        <w:tab/>
      </w:r>
      <w:r>
        <w:t xml:space="preserve">To require that uses vulnerable to floods, including facilities which serve such uses, be protected against flood damage at the time of initial construction.</w:t>
      </w:r>
    </w:p>
    <w:p>
      <w:pPr>
        <w:pStyle w:val="ListParagraph"/>
        <w:numPr>
          <w:ilvl w:val="1"/>
          <w:numId w:val="1"/>
        </w:numPr>
      </w:pPr>
      <w:r>
        <w:t xml:space="preserve">13.</w:t>
      </w:r>
      <w:r>
        <w:tab/>
      </w:r>
      <w:r>
        <w:t xml:space="preserve">To eliminate costs associated with the response and cleanup of flooding conditions.</w:t>
      </w:r>
    </w:p>
    <w:p>
      <w:pPr>
        <w:pStyle w:val="ListParagraph"/>
        <w:numPr>
          <w:ilvl w:val="1"/>
          <w:numId w:val="1"/>
        </w:numPr>
      </w:pPr>
      <w:r>
        <w:t xml:space="preserve">14.</w:t>
      </w:r>
      <w:r>
        <w:tab/>
      </w:r>
      <w:r>
        <w:t xml:space="preserve">To prevent the occurrence of public emergencies resulting from water quality, contamination, and pollution due to flooding.</w:t>
      </w:r>
    </w:p>
    <w:p>
      <w:pPr>
        <w:pStyle w:val="ListParagraph"/>
        <w:numPr>
          <w:ilvl w:val="1"/>
          <w:numId w:val="1"/>
        </w:numPr>
      </w:pPr>
      <w:r>
        <w:t xml:space="preserve">15.</w:t>
      </w:r>
      <w:r>
        <w:tab/>
      </w:r>
      <w:r>
        <w:t xml:space="preserve">To minimize the need for rescue and relief efforts associated with flooding.</w:t>
      </w:r>
    </w:p>
    <w:p>
      <w:pPr>
        <w:pStyle w:val="ListParagraph"/>
        <w:numPr>
          <w:ilvl w:val="1"/>
          <w:numId w:val="1"/>
        </w:numPr>
      </w:pPr>
      <w:r>
        <w:t xml:space="preserve">16.</w:t>
      </w:r>
      <w:r>
        <w:tab/>
      </w:r>
      <w:r>
        <w:t xml:space="preserve">To eliminate new hazards to emergency response officials.</w:t>
      </w:r>
    </w:p>
    <w:p>
      <w:pPr>
        <w:pStyle w:val="ListParagraph"/>
        <w:numPr>
          <w:ilvl w:val="1"/>
          <w:numId w:val="1"/>
        </w:numPr>
      </w:pPr>
      <w:r>
        <w:t xml:space="preserve">17.</w:t>
      </w:r>
      <w:r>
        <w:tab/>
      </w:r>
      <w:r>
        <w:t xml:space="preserve">To prohibit nonessential or improper installation of public facilities and utilities in flood prone areas.</w:t>
      </w:r>
    </w:p>
    <w:p>
      <w:pPr>
        <w:pStyle w:val="ListParagraph"/>
        <w:numPr>
          <w:ilvl w:val="1"/>
          <w:numId w:val="1"/>
        </w:numPr>
      </w:pPr>
      <w:r>
        <w:t xml:space="preserve">18.</w:t>
      </w:r>
      <w:r>
        <w:tab/>
      </w:r>
      <w:r>
        <w:t xml:space="preserve">To avoid the loss of utility services which if damaged by flooding would disrupt or shut down the utility network and impact regions of the community beyond the site of flooding.</w:t>
      </w:r>
    </w:p>
    <w:p>
      <w:pPr>
        <w:pStyle w:val="ListParagraph"/>
        <w:numPr>
          <w:ilvl w:val="1"/>
          <w:numId w:val="1"/>
        </w:numPr>
      </w:pPr>
      <w:r>
        <w:t xml:space="preserve">19.</w:t>
      </w:r>
      <w:r>
        <w:tab/>
      </w:r>
      <w:r>
        <w:t xml:space="preserve">To divert development to areas safe from flooding in order to reduce flood damages and prevent environmentally incompatible floodplain uses.</w:t>
      </w:r>
    </w:p>
    <w:p>
      <w:pPr>
        <w:pStyle w:val="ListParagraph"/>
        <w:numPr>
          <w:ilvl w:val="1"/>
          <w:numId w:val="1"/>
        </w:numPr>
      </w:pPr>
      <w:r>
        <w:t xml:space="preserve">20.</w:t>
      </w:r>
      <w:r>
        <w:tab/>
      </w:r>
      <w:r>
        <w:t xml:space="preserve">To preserve flood prone areas for open space purposes.</w:t>
      </w:r>
    </w:p>
    <w:p>
      <w:pPr>
        <w:pStyle w:val="ListParagraph"/>
        <w:numPr>
          <w:ilvl w:val="1"/>
          <w:numId w:val="1"/>
        </w:numPr>
      </w:pPr>
      <w:r>
        <w:t xml:space="preserve">21.</w:t>
      </w:r>
      <w:r>
        <w:tab/>
      </w:r>
      <w:r>
        <w:t xml:space="preserve">To insure that potential buyers are notified that property is in a flood prone area.</w:t>
      </w:r>
    </w:p>
    <w:p>
      <w:pPr>
        <w:pStyle w:val="ListParagraph"/>
        <w:numPr>
          <w:ilvl w:val="1"/>
          <w:numId w:val="1"/>
        </w:numPr>
      </w:pPr>
      <w:r>
        <w:t xml:space="preserve">22.</w:t>
      </w:r>
      <w:r>
        <w:tab/>
      </w:r>
      <w:r>
        <w:t xml:space="preserve">To eliminate costs associated with .</w:t>
      </w:r>
    </w:p>
    <w:p>
      <w:pPr>
        <w:pStyle w:val="ListParagraph"/>
        <w:numPr>
          <w:ilvl w:val="1"/>
          <w:numId w:val="1"/>
        </w:numPr>
      </w:pPr>
      <w:r>
        <w:t xml:space="preserve">23.</w:t>
      </w:r>
      <w:r>
        <w:tab/>
      </w:r>
      <w:r>
        <w:t xml:space="preserve">To achieve these purposes in a manner consistent with all other applicable ordinances of the City of Worcester, the General Laws of the Commonwealth of Massachusetts and laws of the United States of America.</w:t>
      </w:r>
    </w:p>
    <w:p>
      <w:pPr>
        <w:pStyle w:val="Heading3"/>
      </w:pPr>
      <w:r>
        <w:t xml:space="preserve">§ 2. Definitions</w:t>
      </w:r>
    </w:p>
    <w:p>
      <w:pPr>
        <w:pStyle w:val="ListParagraph"/>
        <w:numPr>
          <w:ilvl w:val="0"/>
          <w:numId w:val="1"/>
        </w:numPr>
      </w:pPr>
      <w:r>
        <w:t xml:space="preserve">B.</w:t>
      </w:r>
      <w:r>
        <w:tab/>
      </w:r>
      <w:r>
        <w:t xml:space="preserve">BASE FLOOD ELEVATION (BFE)– The elevation of surface water resulting from a flood having a one (1) percent chance of equaling or exceeding that level in any given year. The BFE is shown on the Flood Insurance Rate Map (FIRM) and detailed in the Flood Insurance Study (FIS).</w:t>
      </w:r>
    </w:p>
    <w:p>
      <w:pPr>
        <w:pStyle w:val="ListParagraph"/>
        <w:numPr>
          <w:ilvl w:val="1"/>
          <w:numId w:val="1"/>
        </w:numPr>
      </w:pPr>
      <w:r>
        <w:t xml:space="preserve">(a)</w:t>
      </w:r>
      <w:r>
        <w:tab/>
      </w:r>
      <w:r>
        <w:t xml:space="preserve">Listed individually in the National Register of Historic Places (a listing maintained by the Department of Interior) or preliminarily determined by the Secretary of the Interior as meeting the requirements for individual listing on the National Register;</w:t>
      </w:r>
    </w:p>
    <w:p>
      <w:pPr>
        <w:pStyle w:val="ListParagraph"/>
        <w:numPr>
          <w:ilvl w:val="1"/>
          <w:numId w:val="1"/>
        </w:numPr>
      </w:pPr>
      <w:r>
        <w:t xml:space="preserve">(b)</w:t>
      </w:r>
      <w:r>
        <w:tab/>
      </w:r>
      <w:r>
        <w:t xml:space="preserve">Certified or preliminarily determined by the Secretary of the Interior as contributing to the historical significance of a registered historic or a district preliminarily determined by the Secretary to qualify as a registered historic district;</w:t>
      </w:r>
    </w:p>
    <w:p>
      <w:pPr>
        <w:pStyle w:val="ListParagraph"/>
        <w:numPr>
          <w:ilvl w:val="1"/>
          <w:numId w:val="1"/>
        </w:numPr>
      </w:pPr>
      <w:r>
        <w:t xml:space="preserve">(c)</w:t>
      </w:r>
      <w:r>
        <w:tab/>
      </w:r>
      <w:r>
        <w:t xml:space="preserve">Individually listed on a state inventory of historic places in states with historic preservation programs which have been approved by the Secretary of the Interior; or</w:t>
      </w:r>
    </w:p>
    <w:p>
      <w:pPr>
        <w:pStyle w:val="ListParagraph"/>
        <w:numPr>
          <w:ilvl w:val="1"/>
          <w:numId w:val="1"/>
        </w:numPr>
      </w:pPr>
      <w:r>
        <w:t xml:space="preserve">(d)</w:t>
      </w:r>
      <w:r>
        <w:tab/>
      </w:r>
      <w:r>
        <w:t xml:space="preserve">Individually listed on a local inventory of historic places in communities with historic preservation programs that have been certified either:</w:t>
      </w:r>
    </w:p>
    <w:p>
      <w:pPr>
        <w:pStyle w:val="ListParagraph"/>
        <w:numPr>
          <w:ilvl w:val="2"/>
          <w:numId w:val="1"/>
        </w:numPr>
      </w:pPr>
      <w:r>
        <w:t xml:space="preserve">(1)</w:t>
      </w:r>
      <w:r>
        <w:tab/>
      </w:r>
      <w:r>
        <w:t xml:space="preserve">By an approved state program as determined by the Secretary of the Interior or</w:t>
      </w:r>
    </w:p>
    <w:p>
      <w:pPr>
        <w:pStyle w:val="ListParagraph"/>
        <w:numPr>
          <w:ilvl w:val="2"/>
          <w:numId w:val="1"/>
        </w:numPr>
      </w:pPr>
      <w:r>
        <w:t xml:space="preserve">(2)</w:t>
      </w:r>
      <w:r>
        <w:tab/>
      </w:r>
      <w:r>
        <w:t xml:space="preserve">Directly by the Secretary of the Interior in states without approved programs.</w:t>
      </w:r>
    </w:p>
    <w:p>
      <w:pPr>
        <w:pStyle w:val="ListParagraph"/>
        <w:numPr>
          <w:ilvl w:val="1"/>
          <w:numId w:val="1"/>
        </w:numPr>
      </w:pPr>
      <w:r>
        <w:t xml:space="preserve">(a)</w:t>
      </w:r>
      <w:r>
        <w:tab/>
      </w:r>
      <w:r>
        <w:t xml:space="preserve">Built on a single chassis;</w:t>
      </w:r>
    </w:p>
    <w:p>
      <w:pPr>
        <w:pStyle w:val="ListParagraph"/>
        <w:numPr>
          <w:ilvl w:val="1"/>
          <w:numId w:val="1"/>
        </w:numPr>
      </w:pPr>
      <w:r>
        <w:t xml:space="preserve">(b)</w:t>
      </w:r>
      <w:r>
        <w:tab/>
      </w:r>
      <w:r>
        <w:t xml:space="preserve">400 square feet or less when measured at the largest horizontal projection;</w:t>
      </w:r>
    </w:p>
    <w:p>
      <w:pPr>
        <w:pStyle w:val="ListParagraph"/>
        <w:numPr>
          <w:ilvl w:val="1"/>
          <w:numId w:val="1"/>
        </w:numPr>
      </w:pPr>
      <w:r>
        <w:t xml:space="preserve">(c)</w:t>
      </w:r>
      <w:r>
        <w:tab/>
      </w:r>
      <w:r>
        <w:t xml:space="preserve">Designed to be self-propelled or permanently towable by a light truck; and</w:t>
      </w:r>
    </w:p>
    <w:p>
      <w:pPr>
        <w:pStyle w:val="ListParagraph"/>
        <w:numPr>
          <w:ilvl w:val="1"/>
          <w:numId w:val="1"/>
        </w:numPr>
      </w:pPr>
      <w:r>
        <w:t xml:space="preserve">(d)</w:t>
      </w:r>
      <w:r>
        <w:tab/>
      </w:r>
      <w:r>
        <w:t xml:space="preserve">Designed primarily not for use as a permanent dwelling but as temporary living quarters for recreational, camping, travel, or seasonal use.</w:t>
      </w:r>
    </w:p>
    <w:p>
      <w:pPr>
        <w:ind w:left="490"/>
      </w:pPr>
      <w:r>
        <w:rPr>
          <w:rStyle w:val="Term"/>
        </w:rPr>
        <w:t xml:space="preserve">BASE FLOOD</w:t>
      </w:r>
      <w:r>
        <w:t xml:space="preserve"> BASE FLOOD - A flood having a one (1) percent chance of being equaled or exceeded in any given year. This is the regulatory floodplain, also referred to as the "100-year flood".</w:t>
      </w:r>
    </w:p>
    <w:p>
      <w:pPr>
        <w:ind w:left="490"/>
      </w:pPr>
      <w:r>
        <w:rPr>
          <w:rStyle w:val="Term"/>
        </w:rPr>
        <w:t xml:space="preserve">DEVELOPMENT</w:t>
      </w:r>
      <w:r>
        <w:t xml:space="preserve"> DEVELOPMENT - Any man-made change to improved or unimproved real estate, including but not limited to buildings or other structures, mining, dredging, filling, grading, paving, excavation or drilling operations or storage of equipment or materials.</w:t>
      </w:r>
    </w:p>
    <w:p>
      <w:pPr>
        <w:ind w:left="490"/>
      </w:pPr>
      <w:r>
        <w:rPr>
          <w:rStyle w:val="Term"/>
        </w:rPr>
        <w:t xml:space="preserve">FLOOD OR FLOODING</w:t>
      </w:r>
      <w:r>
        <w:t xml:space="preserve"> FLOOD OR FLOODING – A general and temporary condition of partial or complete inundation of normally dry land from: (1) the overflow of inland waters; or (2) the unusual and rapid accumulation of runoff of surface waters from any source.</w:t>
      </w:r>
    </w:p>
    <w:p>
      <w:pPr>
        <w:ind w:left="490"/>
      </w:pPr>
      <w:r>
        <w:rPr>
          <w:rStyle w:val="Term"/>
        </w:rPr>
        <w:t xml:space="preserve">FLOOD INSURANCE RATE MAP (FIRM)</w:t>
      </w:r>
      <w:r>
        <w:t xml:space="preserve"> FLOOD INSURANCE RATE MAP (FIRM) - Official map of a community on which FEMA has delineated the Special Flood Hazard Areas (SFHAs), the Base Flood Elevations (BFEs) and the risk premium zones applicable to the community.</w:t>
      </w:r>
    </w:p>
    <w:p>
      <w:pPr>
        <w:ind w:left="490"/>
      </w:pPr>
      <w:r>
        <w:rPr>
          <w:rStyle w:val="Term"/>
        </w:rPr>
        <w:t xml:space="preserve">FLOOD INSURANCE STUDY (FIS)</w:t>
      </w:r>
      <w:r>
        <w:t xml:space="preserve"> FLOOD INSURANCE STUDY (FIS) – The official report provided by the Federal Emergency Management Agency (FEMA) which contains flood risk data for specific watercourses, lakes, etc. in a community and detailed flood elevation data in flood profiles and data tables, including water surface elevations of the base flood used for the FIRM.</w:t>
      </w:r>
    </w:p>
    <w:p>
      <w:pPr>
        <w:ind w:left="490"/>
      </w:pPr>
      <w:r>
        <w:rPr>
          <w:rStyle w:val="Term"/>
        </w:rPr>
        <w:t xml:space="preserve">FLOODPLAIN</w:t>
      </w:r>
      <w:r>
        <w:t xml:space="preserve"> FLOODPLAIN – Any land area susceptible to being inundated by floodwaters from any source.</w:t>
      </w:r>
    </w:p>
    <w:p>
      <w:pPr>
        <w:ind w:left="490"/>
      </w:pPr>
      <w:r>
        <w:rPr>
          <w:rStyle w:val="Term"/>
        </w:rPr>
        <w:t xml:space="preserve">FLOODPLAIN DEVELOPMENT PERMIT</w:t>
      </w:r>
      <w:r>
        <w:t xml:space="preserve"> FLOODPLAIN DEVELOPMENT PERMIT – Any permit issued by the City of Worcester for development in the floodplain.</w:t>
      </w:r>
    </w:p>
    <w:p>
      <w:pPr>
        <w:ind w:left="490"/>
      </w:pPr>
      <w:r>
        <w:rPr>
          <w:rStyle w:val="Term"/>
        </w:rPr>
        <w:t xml:space="preserve">FLOODPROOFING</w:t>
      </w:r>
      <w:r>
        <w:t xml:space="preserve"> FLOODPROOFING – Any combination of structural and non-structural additions, or adjustments to structures or land which reduce or eliminate flood damage to real estate, or improved real property, water and sanitary facilities, structures and their contents.</w:t>
      </w:r>
    </w:p>
    <w:p>
      <w:pPr>
        <w:ind w:left="490"/>
      </w:pPr>
      <w:r>
        <w:rPr>
          <w:rStyle w:val="Term"/>
        </w:rPr>
        <w:t xml:space="preserve">FLOODWAY</w:t>
      </w:r>
      <w:r>
        <w:t xml:space="preserve"> FLOODWAY – The channel of the river, creek or other watercourse and the adjacent land areas that must be reserved in order to discharge the base flood without cumulatively increasing the water surface elevation more than a designated height.</w:t>
      </w:r>
    </w:p>
    <w:p>
      <w:pPr>
        <w:ind w:left="490"/>
      </w:pPr>
      <w:r>
        <w:rPr>
          <w:rStyle w:val="Term"/>
        </w:rPr>
        <w:t xml:space="preserve">FUNCTIONALLY DEPENDENT USE</w:t>
      </w:r>
      <w:r>
        <w:t xml:space="preserve"> FUNCTIONALLY DEPENDENT USE -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w:t>
      </w:r>
    </w:p>
    <w:p>
      <w:pPr>
        <w:ind w:left="490"/>
      </w:pPr>
      <w:r>
        <w:rPr>
          <w:rStyle w:val="Term"/>
        </w:rPr>
        <w:t xml:space="preserve">HIGHEST ADJACENT GRADE</w:t>
      </w:r>
      <w:r>
        <w:t xml:space="preserve"> HIGHEST ADJACENT GRADE - The highest natural elevation of the ground surface prior to construction next to the proposed walls of a structure.</w:t>
      </w:r>
    </w:p>
    <w:p>
      <w:pPr>
        <w:ind w:left="490"/>
      </w:pPr>
      <w:r>
        <w:rPr>
          <w:rStyle w:val="Term"/>
        </w:rPr>
        <w:t xml:space="preserve">HISTORIC STRUCTURE</w:t>
      </w:r>
      <w:r>
        <w:t xml:space="preserve"> HISTORIC STRUCTURE – Any structure that is:</w:t>
      </w:r>
    </w:p>
    <w:p>
      <w:pPr>
        <w:ind w:left="490"/>
      </w:pPr>
      <w:r>
        <w:rPr>
          <w:rStyle w:val="Term"/>
        </w:rPr>
        <w:t xml:space="preserve">NEW CONSTRUCTION</w:t>
      </w:r>
      <w:r>
        <w:t xml:space="preserve"> NEW CONSTRUCTION - Structures for which the start of construction commenced on or after the effective date of the first floodplain management code, regulation, ordinance, or standard adopted by the authority having jurisdiction, including any subsequent improvements to such structures. New construction includes work determined to be substantial improvement.</w:t>
      </w:r>
    </w:p>
    <w:p>
      <w:pPr>
        <w:ind w:left="490"/>
      </w:pPr>
      <w:r>
        <w:rPr>
          <w:rStyle w:val="Term"/>
        </w:rPr>
        <w:t xml:space="preserve">RECREATIONAL VEHICLE</w:t>
      </w:r>
      <w:r>
        <w:t xml:space="preserve"> RECREATIONAL VEHICLE – A vehicle which is:</w:t>
      </w:r>
    </w:p>
    <w:p>
      <w:pPr>
        <w:ind w:left="490"/>
      </w:pPr>
      <w:r>
        <w:rPr>
          <w:rStyle w:val="Term"/>
        </w:rPr>
        <w:t xml:space="preserve">REGULATORY FLOODWAY</w:t>
      </w:r>
      <w:r>
        <w:t xml:space="preserve"> REGULATORY FLOODWAY – See “FLOODWAY”.</w:t>
      </w:r>
    </w:p>
    <w:p>
      <w:pPr>
        <w:ind w:left="490"/>
      </w:pPr>
      <w:r>
        <w:rPr>
          <w:rStyle w:val="Term"/>
        </w:rPr>
        <w:t xml:space="preserve">SPECIAL FLOOD HAZARD AREA</w:t>
      </w:r>
      <w:r>
        <w:t xml:space="preserve"> SPECIAL FLOOD HAZARD AREA - The land area subject to flood hazards and shown on a Flood Insurance Rate Map as Zone A, AE, AO, AH.</w:t>
      </w:r>
    </w:p>
    <w:p>
      <w:pPr>
        <w:ind w:left="490"/>
      </w:pPr>
      <w:r>
        <w:rPr>
          <w:rStyle w:val="Term"/>
        </w:rPr>
        <w:t xml:space="preserve">START OF CONSTRUCTION</w:t>
      </w:r>
      <w:r>
        <w:t xml:space="preserve"> START OF CONSTRUCTION -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 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w:t>
      </w:r>
    </w:p>
    <w:p>
      <w:pPr>
        <w:ind w:left="490"/>
      </w:pPr>
      <w:r>
        <w:rPr>
          <w:rStyle w:val="Term"/>
        </w:rPr>
        <w:t xml:space="preserve">STRUCTURE</w:t>
      </w:r>
      <w:r>
        <w:t xml:space="preserve"> STRUCTURE - For floodplain management purposes, a walled and roofed building, including a gas or liquid storage tank, that is principally above ground, as well as a manufactured home.</w:t>
      </w:r>
    </w:p>
    <w:p>
      <w:pPr>
        <w:ind w:left="490"/>
      </w:pPr>
      <w:r>
        <w:rPr>
          <w:rStyle w:val="Term"/>
        </w:rPr>
        <w:t xml:space="preserve">SUBSTANTIAL REPAIR OF A FOUNDATION</w:t>
      </w:r>
      <w:r>
        <w:t xml:space="preserve"> SUBSTANTIAL REPAIR OF A FOUNDATION -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 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w:t>
      </w:r>
    </w:p>
    <w:p>
      <w:pPr>
        <w:ind w:left="490"/>
      </w:pPr>
      <w:r>
        <w:rPr>
          <w:rStyle w:val="Term"/>
        </w:rPr>
        <w:t xml:space="preserve">VARIANCE</w:t>
      </w:r>
      <w:r>
        <w:t xml:space="preserve"> VARIANCE - A grant of relief by a community from the terms of a flood plain management regulation.</w:t>
      </w:r>
    </w:p>
    <w:p>
      <w:pPr>
        <w:ind w:left="490"/>
      </w:pPr>
      <w:r>
        <w:rPr>
          <w:rStyle w:val="Term"/>
        </w:rPr>
        <w:t xml:space="preserve">VIOLATION</w:t>
      </w:r>
      <w:r>
        <w:t xml:space="preserve"> VIOLATION - The failure of a structure or other development to be fully compliant with the community's flood plain management regulations. A structure or other development without the elevation certificate, other certifications, or other evidence of compliance required in §60.3 is presumed to be in violation until such time as that documentation is provided.</w:t>
      </w:r>
    </w:p>
    <w:p>
      <w:pPr>
        <w:pStyle w:val="Heading3"/>
      </w:pPr>
      <w:r>
        <w:t xml:space="preserve">§ 3. General Provisions</w:t>
      </w:r>
    </w:p>
    <w:p>
      <w:r>
        <w:t xml:space="preserve">All applications for building permits shall insure that such activity as proposed is consistent with the need to minimize flood damage. Any new construction or substantial improvement to be undertaken in the Floodplain Overlay District shall be in accordance with the State Building Code and such other controls as are herein provided. All subdivision proposals and development proposals in the floodplain overlay district shall be reviewed to assure that:</w:t>
      </w:r>
    </w:p>
    <w:p>
      <w:pPr>
        <w:pStyle w:val="ListParagraph"/>
        <w:numPr>
          <w:ilvl w:val="0"/>
          <w:numId w:val="1"/>
        </w:numPr>
      </w:pPr>
      <w:r>
        <w:t xml:space="preserve">(a)</w:t>
      </w:r>
      <w:r>
        <w:tab/>
      </w:r>
      <w:r>
        <w:t xml:space="preserve">Such proposals minimize flood damage;</w:t>
      </w:r>
    </w:p>
    <w:p>
      <w:pPr>
        <w:pStyle w:val="ListParagraph"/>
        <w:numPr>
          <w:ilvl w:val="0"/>
          <w:numId w:val="1"/>
        </w:numPr>
      </w:pPr>
      <w:r>
        <w:t xml:space="preserve">(b)</w:t>
      </w:r>
      <w:r>
        <w:tab/>
      </w:r>
      <w:r>
        <w:t xml:space="preserve">Public utilities and facilities are located &amp; constructed so as to minimize flood damage; and</w:t>
      </w:r>
    </w:p>
    <w:p>
      <w:pPr>
        <w:pStyle w:val="ListParagraph"/>
        <w:numPr>
          <w:ilvl w:val="0"/>
          <w:numId w:val="1"/>
        </w:numPr>
      </w:pPr>
      <w:r>
        <w:t xml:space="preserve">(c)</w:t>
      </w:r>
      <w:r>
        <w:tab/>
      </w:r>
      <w:r>
        <w:t xml:space="preserve">Adequate drainage is provided.</w:t>
      </w:r>
    </w:p>
    <w:p>
      <w:pPr>
        <w:ind w:left="490"/>
      </w:pPr>
      <w:r>
        <w:t xml:space="preserve">When proposing subdivisions or other developments greater than 50 lots or 5 acres (whichever is less), the proponent must provide technical data to determine base flood elevations for each developable parcel shown on the design plans.</w:t>
      </w:r>
    </w:p>
    <w:p>
      <w:pPr>
        <w:pStyle w:val="Heading3"/>
      </w:pPr>
      <w:r>
        <w:t xml:space="preserve">§ 4. Definition and Establishment of the Floodplain Overlay District</w:t>
      </w:r>
    </w:p>
    <w:p>
      <w:r>
        <w:t xml:space="preserve">The Floodplain District is herein established as an overlay district. The District includes all special flood hazard areas within the City of Worcester designated as Zone A, AE, AH, AO, on the Worcester County Flood Insurance Rate Map (FIRM) dated July 8, 2025 issued by the Federal Emergency Management Agency (FEMA) for the administration of the National Flood Insurance Program. The exact boundaries of the District shall be defined by the 1%-chance base flood elevations shown on the FIRM and further defined by the Worcester County Flood Insurance Study (FIS) report dated July 8, 2025. The FIRM and FIS report are incorporated herein by reference and are on file with the City Clerk, Planning Board, Conservation Commission, and Department of Inspectional Services.</w:t>
      </w:r>
    </w:p>
    <w:p>
      <w:pPr>
        <w:pStyle w:val="Heading3"/>
      </w:pPr>
      <w:r>
        <w:t xml:space="preserve">§ 5. Administrative Authority of the Director of Code Enforcement in the Floodplain</w:t>
      </w:r>
    </w:p>
    <w:p>
      <w:r>
        <w:t xml:space="preserve">Overlay District</w:t>
      </w:r>
    </w:p>
    <w:p>
      <w:pPr>
        <w:pStyle w:val="ListParagraph"/>
        <w:numPr>
          <w:ilvl w:val="0"/>
          <w:numId w:val="1"/>
        </w:numPr>
      </w:pPr>
      <w:r>
        <w:t xml:space="preserve">A.</w:t>
      </w:r>
      <w:r>
        <w:tab/>
      </w:r>
      <w:r>
        <w:t xml:space="preserve">The Director of Code Enforcement of the City of Worcester, the designated official floodplain administrator, is hereby authorized to do the following:</w:t>
      </w:r>
    </w:p>
    <w:p>
      <w:pPr>
        <w:pStyle w:val="ListParagraph"/>
        <w:numPr>
          <w:ilvl w:val="1"/>
          <w:numId w:val="1"/>
        </w:numPr>
      </w:pPr>
      <w:r>
        <w:t xml:space="preserve">1.</w:t>
      </w:r>
      <w:r>
        <w:tab/>
      </w:r>
      <w:r>
        <w:t xml:space="preserve">Require a permit for all proposed construction or other development in the floodplain overlay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w:t>
      </w:r>
    </w:p>
    <w:p>
      <w:pPr>
        <w:pStyle w:val="ListParagraph"/>
        <w:numPr>
          <w:ilvl w:val="1"/>
          <w:numId w:val="1"/>
        </w:numPr>
      </w:pPr>
      <w:r>
        <w:t xml:space="preserve">2.</w:t>
      </w:r>
      <w:r>
        <w:tab/>
      </w:r>
      <w:r>
        <w:t xml:space="preserve">Review permits for proposed development to assure that all other necessary permits have been obtained from those Federal, State or local governmental agencies from which prior approval is required.</w:t>
      </w:r>
    </w:p>
    <w:p>
      <w:pPr>
        <w:pStyle w:val="ListParagraph"/>
        <w:numPr>
          <w:ilvl w:val="1"/>
          <w:numId w:val="1"/>
        </w:numPr>
      </w:pPr>
      <w:r>
        <w:t xml:space="preserve">3.</w:t>
      </w:r>
      <w:r>
        <w:tab/>
      </w:r>
      <w:r>
        <w:t xml:space="preserve">Notify adjacent communities and the State coordinator at the Division of Water Resources, Water Resource Commission, Massachusetts Department of Environmental Management and the Worcester Conservation Commission prior to any alteration or relocation of a watercourse and submit evidence of such notification to FEMA.</w:t>
      </w:r>
    </w:p>
    <w:p>
      <w:pPr>
        <w:pStyle w:val="ListParagraph"/>
        <w:numPr>
          <w:ilvl w:val="1"/>
          <w:numId w:val="1"/>
        </w:numPr>
      </w:pPr>
      <w:r>
        <w:t xml:space="preserve">4.</w:t>
      </w:r>
      <w:r>
        <w:tab/>
      </w:r>
      <w:r>
        <w:t xml:space="preserve">Assure that maintenance is provided within the altered or relocated position of any watercourse so that the flood carrying capacity is not diminished.</w:t>
      </w:r>
    </w:p>
    <w:p>
      <w:pPr>
        <w:pStyle w:val="ListParagraph"/>
        <w:numPr>
          <w:ilvl w:val="1"/>
          <w:numId w:val="1"/>
        </w:numPr>
      </w:pPr>
      <w:r>
        <w:t xml:space="preserve">5.</w:t>
      </w:r>
      <w:r>
        <w:tab/>
      </w:r>
      <w:r>
        <w:t xml:space="preserve">Obtain and maintain records of elevation certificates and floodproofing certificates for all new or substantially improved structures, whether or not such structures contain a basement.</w:t>
      </w:r>
    </w:p>
    <w:p>
      <w:pPr>
        <w:pStyle w:val="ListParagraph"/>
        <w:numPr>
          <w:ilvl w:val="1"/>
          <w:numId w:val="1"/>
        </w:numPr>
      </w:pPr>
      <w:r>
        <w:t xml:space="preserve">6.</w:t>
      </w:r>
      <w:r>
        <w:tab/>
      </w:r>
      <w:r>
        <w:t xml:space="preserve">Obtain certification from a registered professional engineer and/or architect when floodproofing is used for a particular structure.</w:t>
      </w:r>
    </w:p>
    <w:p>
      <w:pPr>
        <w:pStyle w:val="ListParagraph"/>
        <w:numPr>
          <w:ilvl w:val="1"/>
          <w:numId w:val="1"/>
        </w:numPr>
      </w:pPr>
      <w:r>
        <w:t xml:space="preserve">7.</w:t>
      </w:r>
      <w:r>
        <w:tab/>
      </w:r>
      <w:r>
        <w:t xml:space="preserve">Obtain certification from a registered professional engineer, land surveyor, and/or architect on an elevation certificate when elevation is used for a particular structure prior to construction or substantial improvement and upon completion thereof.</w:t>
      </w:r>
    </w:p>
    <w:p>
      <w:pPr>
        <w:pStyle w:val="ListParagraph"/>
        <w:numPr>
          <w:ilvl w:val="1"/>
          <w:numId w:val="1"/>
        </w:numPr>
      </w:pPr>
      <w:r>
        <w:t xml:space="preserve">8.</w:t>
      </w:r>
      <w:r>
        <w:tab/>
      </w:r>
      <w:r>
        <w:t xml:space="preserve">Determine the exact location of the Floodplain Overlay District and the areas of special flood hazards, particularly where there is a conflict between a mapped boundary and actual field conditions.</w:t>
      </w:r>
    </w:p>
    <w:p>
      <w:pPr>
        <w:pStyle w:val="ListParagraph"/>
        <w:numPr>
          <w:ilvl w:val="1"/>
          <w:numId w:val="1"/>
        </w:numPr>
      </w:pPr>
      <w:r>
        <w:t xml:space="preserve">9.</w:t>
      </w:r>
      <w:r>
        <w:tab/>
      </w:r>
      <w:r>
        <w:t xml:space="preserve">Obtain and review any base flood elevation data available from a Federal, State or other source in order to administer the provisions of this article.</w:t>
      </w:r>
    </w:p>
    <w:p>
      <w:pPr>
        <w:pStyle w:val="Heading3"/>
      </w:pPr>
      <w:r>
        <w:t xml:space="preserve">§ 6. Development Permit Application and Development Standards</w:t>
      </w:r>
    </w:p>
    <w:p>
      <w:r>
        <w:t xml:space="preserve">A floodplain development permit is required prior to commencement, for all proposed construction or other development in the floodplain overlay district, including new construction or changes to existing buildings, placement of manufactured homes, placement of agricultural facilities, fences, sheds, storage facilities or drilling, mining, paving and any other development within the floodplain overlay district, that might increase flooding or adversely impact flood risks to other properties. Where applicable, a floodplain development permit may be substituted by a building permit and/or a permit from the Conservation Commission, Each application for a floodplain development permit subject to the provisions of this Article shall be made to the Director of Code Enforcement on forms furnished by the Director and shall include the following:</w:t>
      </w:r>
    </w:p>
    <w:p>
      <w:pPr>
        <w:pStyle w:val="ListParagraph"/>
        <w:numPr>
          <w:ilvl w:val="0"/>
          <w:numId w:val="1"/>
        </w:numPr>
      </w:pPr>
      <w:r>
        <w:t xml:space="preserve">A.</w:t>
      </w:r>
      <w:r>
        <w:tab/>
      </w:r>
      <w:r>
        <w:t xml:space="preserve">Site Plan A site plan drawn to a scale not less than forty (40) feet to the inch which is prepared by a registered professional engineer or professional land surveyor shall be submitted by the applicant. The site plan shall show at least the following information:</w:t>
      </w:r>
    </w:p>
    <w:p>
      <w:pPr>
        <w:pStyle w:val="ListParagraph"/>
        <w:numPr>
          <w:ilvl w:val="1"/>
          <w:numId w:val="1"/>
        </w:numPr>
      </w:pPr>
      <w:r>
        <w:t xml:space="preserve">1.</w:t>
      </w:r>
      <w:r>
        <w:tab/>
      </w:r>
      <w:r>
        <w:t xml:space="preserve">The location, boundaries, elevations and dimensions of each lot.</w:t>
      </w:r>
    </w:p>
    <w:p>
      <w:pPr>
        <w:pStyle w:val="ListParagraph"/>
        <w:numPr>
          <w:ilvl w:val="1"/>
          <w:numId w:val="1"/>
        </w:numPr>
      </w:pPr>
      <w:r>
        <w:t xml:space="preserve">2.</w:t>
      </w:r>
      <w:r>
        <w:tab/>
      </w:r>
      <w:r>
        <w:t xml:space="preserve">North-point-basis of bearing, date, scale and legend.</w:t>
      </w:r>
    </w:p>
    <w:p>
      <w:pPr>
        <w:pStyle w:val="ListParagraph"/>
        <w:numPr>
          <w:ilvl w:val="1"/>
          <w:numId w:val="1"/>
        </w:numPr>
      </w:pPr>
      <w:r>
        <w:t xml:space="preserve">3.</w:t>
      </w:r>
      <w:r>
        <w:tab/>
      </w:r>
      <w:r>
        <w:t xml:space="preserve">The name and address of the record owner, developer and the registered professional civil engineer or professional land surveyor.</w:t>
      </w:r>
    </w:p>
    <w:p>
      <w:pPr>
        <w:pStyle w:val="ListParagraph"/>
        <w:numPr>
          <w:ilvl w:val="1"/>
          <w:numId w:val="1"/>
        </w:numPr>
      </w:pPr>
      <w:r>
        <w:t xml:space="preserve">4.</w:t>
      </w:r>
      <w:r>
        <w:tab/>
      </w:r>
      <w:r>
        <w:t xml:space="preserve">Names and addresses of owners of adjacent lots as disclosed by the most recent records of the Department of Administration &amp; Finance, Assessing Division.</w:t>
      </w:r>
    </w:p>
    <w:p>
      <w:pPr>
        <w:pStyle w:val="ListParagraph"/>
        <w:numPr>
          <w:ilvl w:val="1"/>
          <w:numId w:val="1"/>
        </w:numPr>
      </w:pPr>
      <w:r>
        <w:t xml:space="preserve">5.</w:t>
      </w:r>
      <w:r>
        <w:tab/>
      </w:r>
      <w:r>
        <w:t xml:space="preserve">Location, names, elevations and dimensions of adjacent streets.</w:t>
      </w:r>
    </w:p>
    <w:p>
      <w:pPr>
        <w:pStyle w:val="ListParagraph"/>
        <w:numPr>
          <w:ilvl w:val="1"/>
          <w:numId w:val="1"/>
        </w:numPr>
      </w:pPr>
      <w:r>
        <w:t xml:space="preserve">6.</w:t>
      </w:r>
      <w:r>
        <w:tab/>
      </w:r>
      <w:r>
        <w:t xml:space="preserve">Two (2) foot contours of the existing and proposed land surface.</w:t>
      </w:r>
    </w:p>
    <w:p>
      <w:pPr>
        <w:pStyle w:val="ListParagraph"/>
        <w:numPr>
          <w:ilvl w:val="1"/>
          <w:numId w:val="1"/>
        </w:numPr>
      </w:pPr>
      <w:r>
        <w:t xml:space="preserve">7.</w:t>
      </w:r>
      <w:r>
        <w:tab/>
      </w:r>
      <w:r>
        <w:t xml:space="preserve">Locations and elevations of existing and proposed structures, fill, storage of materials, watercourses, drainage easements, means of access, water supply, drainage and sewage disposal facilities.</w:t>
      </w:r>
    </w:p>
    <w:p>
      <w:pPr>
        <w:pStyle w:val="ListParagraph"/>
        <w:numPr>
          <w:ilvl w:val="1"/>
          <w:numId w:val="1"/>
        </w:numPr>
      </w:pPr>
      <w:r>
        <w:t xml:space="preserve">8.</w:t>
      </w:r>
      <w:r>
        <w:tab/>
      </w:r>
      <w:r>
        <w:t xml:space="preserve">The locations and elevations of existing flood boundary and floodway.</w:t>
      </w:r>
    </w:p>
    <w:p>
      <w:pPr>
        <w:pStyle w:val="ListParagraph"/>
        <w:numPr>
          <w:ilvl w:val="0"/>
          <w:numId w:val="1"/>
        </w:numPr>
      </w:pPr>
      <w:r>
        <w:t xml:space="preserve">B.</w:t>
      </w:r>
      <w:r>
        <w:tab/>
      </w:r>
      <w:r>
        <w:t xml:space="preserve">Zone Specific Standards In Zone AE, along watercourses that have a regulatory floodway designated on the City of Worcester’s FIRM encroachments are prohibited, including fill, new construction, substantial improvements to existing structures, and other development within the adopted regulatory floodway unless it has been demonstrated through hydrologic and hydraulic analyses performed in accordance with standard engineering practice that the proposed encroachment would not result in any increase in flood levels within the community during the occurrence of the base flood discharge. In Zones A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 In A Zones, in the absence of FEMA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and as the basis for elevating residential structures to or above base flood level, for floodproofing or elevating nonresidential structures to or above base flood level, and for prohibiting encroachments in floodways. Within Zones AH and AO on the FIRM, adequate drainage paths must be provided around structures on slopes, to guide floodwaters around and away from proposed structures. In A, AH, AO, AE Zones, all recreational vehicles to be placed on a site must be elevated and anchored in accordance with the zone’s regulations for foundation and elevation requirements or be on the site for less than 180 consecutive days or be fully licensed and highway ready.</w:t>
      </w:r>
    </w:p>
    <w:p>
      <w:pPr>
        <w:pStyle w:val="ListParagraph"/>
        <w:numPr>
          <w:ilvl w:val="0"/>
          <w:numId w:val="1"/>
        </w:numPr>
      </w:pPr>
      <w:r>
        <w:t xml:space="preserve">C.</w:t>
      </w:r>
      <w:r>
        <w:tab/>
      </w:r>
      <w:r>
        <w:t xml:space="preserve">Compliance All development in the Floodplain Overlay District, including structural and non-structural activities, whether permitted by right or by special permit must be in compliance with</w:t>
      </w:r>
    </w:p>
    <w:p>
      <w:pPr>
        <w:pStyle w:val="Heading2"/>
      </w:pPr>
      <w:r>
        <w:t xml:space="preserve">Article VII. Inclusionary Zoning</w:t>
      </w:r>
    </w:p>
    <w:p>
      <w:pPr>
        <w:pStyle w:val="Heading3"/>
      </w:pPr>
      <w:r>
        <w:t xml:space="preserve">§ 5. Payment in Lieu</w:t>
      </w:r>
    </w:p>
    <w:p/>
    <w:p>
      <w:pPr>
        <w:pStyle w:val="Heading3"/>
      </w:pPr>
      <w:r>
        <w:t xml:space="preserve">§ 1. Purpose</w:t>
      </w:r>
    </w:p>
    <w:p>
      <w:r>
        <w:t xml:space="preserve">The purpose of this Article is to advance the public good through the production of affordable housing units for rent or sale; to maintain an economically integrated community through the geographic distribution of affordable housing opportunities; and to help prevent displacement of low- to moderate-income residents.</w:t>
      </w:r>
    </w:p>
    <w:p>
      <w:pPr>
        <w:pStyle w:val="Heading3"/>
      </w:pPr>
      <w:r>
        <w:t xml:space="preserve">§ 2. Application</w:t>
      </w:r>
    </w:p>
    <w:p>
      <w:r>
        <w:t xml:space="preserve">This Article shall apply to any development, whether new construction, conversion, adaptive reuse or expansion of an existing structure, involving the net production of twelve (12) or more dwelling units or to any division of land for development of twelve (12) or more dwelling units. Developers proposing a project that is subject to the provisions of this Article shall complete an Inclusionary Zoning Determination, on a form approved by the city of Worcester’s Housing Development Division and shall submit said form as part of a Definitive Site Plan, Special Permit or building permit application. Said Inclusionary Zoning Determination Form shall include an Affirmative Marketing Plan that complies with federal and state fair housing laws. Notwithstanding any provisions of this Article to the contrary, this Article shall not apply to any project for which one or more applications has been filed for a preliminary or definitive site plan review; special permit; variance; or other similar building or land-use related approvals, as of the date of adoption of this Article, and said application is approved within six (6) months of the filing date. Furthermore, the provisions of this Article shall not apply to any project for which a building permit application has been submitted, as of the date of adoption of this Article, and said building permit has been issued within six (6) months of the filing date.</w:t>
      </w:r>
    </w:p>
    <w:p>
      <w:pPr>
        <w:pStyle w:val="Heading3"/>
      </w:pPr>
      <w:r>
        <w:t xml:space="preserve">§ 3. Definitions</w:t>
      </w:r>
    </w:p>
    <w:p>
      <w:pPr>
        <w:pStyle w:val="ListParagraph"/>
        <w:numPr>
          <w:ilvl w:val="0"/>
          <w:numId w:val="1"/>
        </w:numPr>
      </w:pPr>
      <w:r>
        <w:t xml:space="preserve">G.</w:t>
      </w:r>
      <w:r>
        <w:tab/>
      </w:r>
      <w:r>
        <w:t xml:space="preserve">LOW- OR MODERATE-INCOME HOUSEHOLD –a household with annual earnings no greater than the eighty percent (80%) percent income limit of the Worcester, MA HUD Metro FMR Area Median Family Income, as determined by HUD in its most recent Income Limits Summary.</w:t>
      </w:r>
    </w:p>
    <w:p>
      <w:pPr>
        <w:ind w:left="490"/>
      </w:pPr>
      <w:r>
        <w:rPr>
          <w:rStyle w:val="Term"/>
        </w:rPr>
        <w:t xml:space="preserve">AFFORDABLE HOUSING RESTRICTION</w:t>
      </w:r>
      <w:r>
        <w:t xml:space="preserve"> AFFORDABLE HOUSING RESTRICTION - a deed restriction, contract, mortgage agreement, or other legal instrument, acceptable in form and substance to the city solicitor that effectively restricts occupancy of an affordable housing unit to a qualified purchaser or qualified renter that provides for administration, monitoring and enforcement of the restriction during the term of affordability, and conforms to the requirements of chapter 184, sections 26 or sections 31-32 of the General Laws.</w:t>
      </w:r>
    </w:p>
    <w:p>
      <w:pPr>
        <w:ind w:left="490"/>
      </w:pPr>
      <w:r>
        <w:rPr>
          <w:rStyle w:val="Term"/>
        </w:rPr>
        <w:t xml:space="preserve">AFFORDABLE HOUSING TRUST FUND</w:t>
      </w:r>
      <w:r>
        <w:t xml:space="preserve"> AFFORDABLE HOUSING TRUST FUND – a fund account established by the City of Worcester and stewarded by the Affordable Housing Trust Fund Board of Trustees.</w:t>
      </w:r>
    </w:p>
    <w:p>
      <w:pPr>
        <w:ind w:left="490"/>
      </w:pPr>
      <w:r>
        <w:rPr>
          <w:rStyle w:val="Term"/>
        </w:rPr>
        <w:t xml:space="preserve">AFFORDABLE HOUSING TRUST FUND BOARD OF TRUSTEES</w:t>
      </w:r>
      <w:r>
        <w:t xml:space="preserve"> AFFORDABLE HOUSING TRUST FUND BOARD OF TRUSTEES – the executive board established pursuant to Article 3, section 18 of the Revised Ordinances of 2015, Organization of City Agencies, under the authority of chapter 44, section 55 of the General Laws.</w:t>
      </w:r>
    </w:p>
    <w:p>
      <w:pPr>
        <w:ind w:left="490"/>
      </w:pPr>
      <w:r>
        <w:rPr>
          <w:rStyle w:val="Term"/>
        </w:rPr>
        <w:t xml:space="preserve">AFFORDABLE HOUSING UNIT</w:t>
      </w:r>
      <w:r>
        <w:t xml:space="preserve"> AFFORDABLE HOUSING UNIT – a dwelling unit that is affordable to and occupied by a low- or moderate-income household and meets the requirements for inclusion in the Subsidized Housing Inventory (SHI) of the Massachusetts Department of Housing and Community Development (DHCD).</w:t>
      </w:r>
    </w:p>
    <w:p>
      <w:pPr>
        <w:ind w:left="490"/>
      </w:pPr>
      <w:r>
        <w:rPr>
          <w:rStyle w:val="Term"/>
        </w:rPr>
        <w:t xml:space="preserve">AREA MEDIAN INCOME (AMI)</w:t>
      </w:r>
      <w:r>
        <w:t xml:space="preserve"> AREA MEDIAN INCOME (AMI) - the median household income for the metropolitan area that includes the City of Worcester, as defined in the annual schedule of low- and moderate- income limits published by the U.S. Department of Housing and Urban Development (HUD), adjusted for household size.</w:t>
      </w:r>
    </w:p>
    <w:p>
      <w:pPr>
        <w:ind w:left="490"/>
      </w:pPr>
      <w:r>
        <w:rPr>
          <w:rStyle w:val="Term"/>
        </w:rPr>
        <w:t xml:space="preserve">FAIR MARKET RENTS</w:t>
      </w:r>
      <w:r>
        <w:t xml:space="preserve"> FAIR MARKET RENTS - Fair Market Rents (FMRs) are estimates of rent plus the cost of utilities, except telephone. FMRs are housing market-wide estimates of rents that provide opportunities to rent standard quality housing throughout the geographic area in which rental housing units are in competition. The level at which FMRs are set is expressed as a percentile point within the rent distribution of standard quality rental housing units in the FMR area. HUD publishes FMRs annually.</w:t>
      </w:r>
    </w:p>
    <w:p>
      <w:pPr>
        <w:ind w:left="490"/>
      </w:pPr>
      <w:r>
        <w:rPr>
          <w:rStyle w:val="Term"/>
        </w:rPr>
        <w:t xml:space="preserve">MARKET-RATE HOUSING UNIT</w:t>
      </w:r>
      <w:r>
        <w:t xml:space="preserve"> MARKET-RATE HOUSING UNIT – a dwelling unit that is free from any income- based restrictions for the occupant.</w:t>
      </w:r>
    </w:p>
    <w:p>
      <w:pPr>
        <w:pStyle w:val="Heading3"/>
      </w:pPr>
      <w:r>
        <w:t xml:space="preserve">§ 4. Affordable Housing Requirements</w:t>
      </w:r>
    </w:p>
    <w:p>
      <w:pPr>
        <w:pStyle w:val="ListParagraph"/>
        <w:numPr>
          <w:ilvl w:val="0"/>
          <w:numId w:val="1"/>
        </w:numPr>
      </w:pPr>
      <w:r>
        <w:t xml:space="preserve">A.</w:t>
      </w:r>
      <w:r>
        <w:tab/>
      </w:r>
      <w:r>
        <w:t xml:space="preserve">Level of Affordability Housing developments subject to this Article shall provide not less than fifteen percent (15%) of the dwelling units as affordable to households with annual earnings no greater than the eighty percent (80%) income limit of the Worcester, MA HUD Metro FMR Area Median Family Income, as determined by HUD in its most recent Income Limits Summary; or not less than ten percent (10%) of the dwelling units as affordable to households with annual earnings no greater than the sixty percent (60%) income limit of the Worcester, MA HUD Metro FMR Area Median Family Income, as determined by HUD in its most recent Income Limits Summary; or a proportional combination thereof. Any calculation of required affordable housing units that results in the fractional equivalent of one-half or above shall be increased to the next highest whole number.</w:t>
      </w:r>
    </w:p>
    <w:p>
      <w:pPr>
        <w:pStyle w:val="ListParagraph"/>
        <w:numPr>
          <w:ilvl w:val="0"/>
          <w:numId w:val="1"/>
        </w:numPr>
      </w:pPr>
      <w:r>
        <w:t xml:space="preserve">B.</w:t>
      </w:r>
      <w:r>
        <w:tab/>
      </w:r>
      <w:r>
        <w:t xml:space="preserve">Maximum Rent and Sale Price</w:t>
      </w:r>
    </w:p>
    <w:p>
      <w:pPr>
        <w:pStyle w:val="ListParagraph"/>
        <w:numPr>
          <w:ilvl w:val="1"/>
          <w:numId w:val="1"/>
        </w:numPr>
      </w:pPr>
      <w:r>
        <w:t xml:space="preserve">i.</w:t>
      </w:r>
      <w:r>
        <w:tab/>
      </w:r>
      <w:r>
        <w:t xml:space="preserve">The maximum rent for an affordable housing unit shall not exceed thirty percent (30%) of the gross income for the household based on the qualifying Area Median Income restriction, including the utility allowance published annually by HUD. The maximum rent shall also not exceed the FMR published annually by HUD.</w:t>
      </w:r>
    </w:p>
    <w:p>
      <w:pPr>
        <w:pStyle w:val="ListParagraph"/>
        <w:numPr>
          <w:ilvl w:val="1"/>
          <w:numId w:val="1"/>
        </w:numPr>
      </w:pPr>
      <w:r>
        <w:t xml:space="preserve">ii.</w:t>
      </w:r>
      <w:r>
        <w:tab/>
      </w:r>
      <w:r>
        <w:t xml:space="preserve">Affordable housing units for sale must have a sale price that will not exceed the amount that an income-eligible household can obtain financing for through prevailing conventional or affordable mortgage products available to the general public. The sale price shall also not exceed the median sales price for the property type at the time of sale published by the Massachusetts Multiple Listing Service for the city of Worcester.</w:t>
      </w:r>
    </w:p>
    <w:p>
      <w:pPr>
        <w:pStyle w:val="ListParagraph"/>
        <w:numPr>
          <w:ilvl w:val="0"/>
          <w:numId w:val="1"/>
        </w:numPr>
      </w:pPr>
      <w:r>
        <w:t xml:space="preserve">C.</w:t>
      </w:r>
      <w:r>
        <w:tab/>
      </w:r>
      <w:r>
        <w:t xml:space="preserve">Preservation of Affordability An affordable housing restriction granted to the City of Worcester on the required number of dwelling units that shall run with the land and be in force for a term of not less than thirty (30) years shall be recorded at the Worcester District Registry of Deeds.</w:t>
      </w:r>
    </w:p>
    <w:p>
      <w:pPr>
        <w:pStyle w:val="ListParagraph"/>
        <w:numPr>
          <w:ilvl w:val="0"/>
          <w:numId w:val="1"/>
        </w:numPr>
      </w:pPr>
      <w:r>
        <w:t xml:space="preserve">D.</w:t>
      </w:r>
      <w:r>
        <w:tab/>
      </w:r>
      <w:r>
        <w:t xml:space="preserve">Comparability</w:t>
      </w:r>
    </w:p>
    <w:p>
      <w:pPr>
        <w:pStyle w:val="ListParagraph"/>
        <w:numPr>
          <w:ilvl w:val="1"/>
          <w:numId w:val="1"/>
        </w:numPr>
      </w:pPr>
      <w:r>
        <w:t xml:space="preserve">i.</w:t>
      </w:r>
      <w:r>
        <w:tab/>
      </w:r>
      <w:r>
        <w:t xml:space="preserve">Affordable units shall be indistinguishable from market-rate units in building materials, finishes, appliances, and overall construction quality.</w:t>
      </w:r>
    </w:p>
    <w:p>
      <w:pPr>
        <w:pStyle w:val="ListParagraph"/>
        <w:numPr>
          <w:ilvl w:val="1"/>
          <w:numId w:val="1"/>
        </w:numPr>
      </w:pPr>
      <w:r>
        <w:t xml:space="preserve">ii.</w:t>
      </w:r>
      <w:r>
        <w:tab/>
      </w:r>
      <w:r>
        <w:t xml:space="preserve">The mix of bedroom sizes for the affordable units shall be comparable to the overall mix in the development.</w:t>
      </w:r>
    </w:p>
    <w:p>
      <w:pPr>
        <w:pStyle w:val="ListParagraph"/>
        <w:numPr>
          <w:ilvl w:val="1"/>
          <w:numId w:val="1"/>
        </w:numPr>
      </w:pPr>
      <w:r>
        <w:t xml:space="preserve">iii.</w:t>
      </w:r>
      <w:r>
        <w:tab/>
      </w:r>
      <w:r>
        <w:t xml:space="preserve">The dwelling square footage for affordable units shall be comparable to the square footage of market-rate units.</w:t>
      </w:r>
    </w:p>
    <w:p>
      <w:pPr>
        <w:pStyle w:val="ListParagraph"/>
        <w:numPr>
          <w:ilvl w:val="1"/>
          <w:numId w:val="1"/>
        </w:numPr>
      </w:pPr>
      <w:r>
        <w:t xml:space="preserve">iv.</w:t>
      </w:r>
      <w:r>
        <w:tab/>
      </w:r>
      <w:r>
        <w:t xml:space="preserve">Any required accessible or adaptable units in the project shall have a mix of affordable and market-rate units equal to the proportion of affordable and market-rate units for the overall project.</w:t>
      </w:r>
    </w:p>
    <w:p>
      <w:pPr>
        <w:pStyle w:val="ListParagraph"/>
        <w:numPr>
          <w:ilvl w:val="1"/>
          <w:numId w:val="1"/>
        </w:numPr>
      </w:pPr>
      <w:r>
        <w:t xml:space="preserve">v.</w:t>
      </w:r>
      <w:r>
        <w:tab/>
      </w:r>
      <w:r>
        <w:t xml:space="preserve">The affordable units shall not be grouped together, but distributed throughout the development.</w:t>
      </w:r>
    </w:p>
    <w:p>
      <w:pPr>
        <w:pStyle w:val="ListParagraph"/>
        <w:numPr>
          <w:ilvl w:val="1"/>
          <w:numId w:val="1"/>
        </w:numPr>
      </w:pPr>
      <w:r>
        <w:t xml:space="preserve">vi.</w:t>
      </w:r>
      <w:r>
        <w:tab/>
      </w:r>
      <w:r>
        <w:t xml:space="preserve">Occupants of affordable units shall have equal access as occupants of market-rate units to any of the building’s common areas and amenities.</w:t>
      </w:r>
    </w:p>
    <w:p>
      <w:pPr>
        <w:pStyle w:val="ListParagraph"/>
        <w:numPr>
          <w:ilvl w:val="0"/>
          <w:numId w:val="1"/>
        </w:numPr>
      </w:pPr>
      <w:r>
        <w:t xml:space="preserve">E.</w:t>
      </w:r>
      <w:r>
        <w:tab/>
      </w:r>
      <w:r>
        <w:t xml:space="preserve">Affirmative Marketing Affordable housing units shall be made available for rent or sale to eligible low- or moderate- income households under an affirmative marketing plan that complies with federal and state fair housing laws. No building permit shall be issued without an approved affirmative marketing plan.</w:t>
      </w:r>
    </w:p>
    <w:p>
      <w:pPr>
        <w:pStyle w:val="ListParagraph"/>
        <w:numPr>
          <w:ilvl w:val="0"/>
          <w:numId w:val="1"/>
        </w:numPr>
      </w:pPr>
      <w:r>
        <w:t xml:space="preserve">F.</w:t>
      </w:r>
      <w:r>
        <w:tab/>
      </w:r>
      <w:r>
        <w:t xml:space="preserve">Segmentation and Phasing A development project may not be segmented to avoid the provisions of this Article, nor may a developer divide or subdivide property or establish surrogate or subsidiary business entities to avoid the provisions of this Article. If the project is phased, the affordable housing units shall not be delayed to the last phase.</w:t>
      </w:r>
    </w:p>
    <w:p>
      <w:pPr>
        <w:pStyle w:val="Heading3"/>
      </w:pPr>
      <w:r>
        <w:t xml:space="preserve">§ 5. Payment in Lieu</w:t>
      </w:r>
    </w:p>
    <w:p>
      <w:r>
        <w:t xml:space="preserve">In lieu of constructing the required affordable housing units, an applicant may elect to make a payment equal to three percent (3%) of the total construction value of all building permits for the development, including trade permits. Applicants electing this option shall submit a detailed construction cost budget as part of the Inclusionary Zoning Determination mentioned above in Section 2 of this Article. Payments pursuant to this Article shall be made, in full prior to the issuance of a certificate of occupancy, to the City’s Affordable Housing Trust Fund.</w:t>
      </w:r>
    </w:p>
    <w:p>
      <w:pPr>
        <w:pStyle w:val="Heading3"/>
      </w:pPr>
      <w:r>
        <w:t xml:space="preserve">§ 6. Incentives</w:t>
      </w:r>
    </w:p>
    <w:p>
      <w:pPr>
        <w:pStyle w:val="ListParagraph"/>
        <w:numPr>
          <w:ilvl w:val="0"/>
          <w:numId w:val="1"/>
        </w:numPr>
      </w:pPr>
      <w:r>
        <w:t xml:space="preserve">A.</w:t>
      </w:r>
      <w:r>
        <w:tab/>
      </w:r>
      <w:r>
        <w:t xml:space="preserve">To encourage housing production that meets the intent and spirit of this Article, the following incentives may be available to developments that include at least five percent (5%) of the units for the overall project with income restrictions at the sixty percent (60%) AMI limit (“Eligible Developments”):</w:t>
      </w:r>
    </w:p>
    <w:p>
      <w:pPr>
        <w:pStyle w:val="ListParagraph"/>
        <w:numPr>
          <w:ilvl w:val="1"/>
          <w:numId w:val="1"/>
        </w:numPr>
      </w:pPr>
      <w:r>
        <w:t xml:space="preserve">i.</w:t>
      </w:r>
      <w:r>
        <w:tab/>
      </w:r>
      <w:r>
        <w:t xml:space="preserve">Density Bonus and Dimensional Relief – Eligible Developments are entitled to an increase in the maximum number of units permitted in the zoning district of an additional percentage equal to the percentage of affordable units plus five percent (5%) up to a maximum twenty-five percent (25%) density bonus. In RG-5 zones, the maximum density bonus shall be limited to fifteen percent (15%) to prevent overcrowding. Said increase in units shall not require additional lot area, frontage, or parking, or increase floor-area-ratios as part of this entitlement.</w:t>
      </w:r>
    </w:p>
    <w:p>
      <w:pPr>
        <w:pStyle w:val="ListParagraph"/>
        <w:numPr>
          <w:ilvl w:val="1"/>
          <w:numId w:val="1"/>
        </w:numPr>
      </w:pPr>
      <w:r>
        <w:t xml:space="preserve">ii.</w:t>
      </w:r>
      <w:r>
        <w:tab/>
      </w:r>
      <w:r>
        <w:t xml:space="preserve">Off-Street Parking and Loading –</w:t>
      </w:r>
    </w:p>
    <w:p>
      <w:pPr>
        <w:pStyle w:val="ListParagraph"/>
        <w:numPr>
          <w:ilvl w:val="2"/>
          <w:numId w:val="1"/>
        </w:numPr>
      </w:pPr>
      <w:r>
        <w:t xml:space="preserve">a.</w:t>
      </w:r>
      <w:r>
        <w:tab/>
      </w:r>
      <w:r>
        <w:t xml:space="preserve">Eligible Developments are entitled to a twenty-five percent (25%) reduction from the minimum parking requirements of this Ordinance provided that the applicant submits a Transportation Management Program (TMP) to the Planning Board and the TMP is maintained in accordance with any conditions imposed by the Planning Board, as a requirement of any Definitive Site Plan Approval. Where Definitive Site Plan Approval is not required, the TMP shall be submitted to the Department of Inspectional Services concurrent with any application for a building permit.</w:t>
      </w:r>
    </w:p>
    <w:p>
      <w:pPr>
        <w:pStyle w:val="ListParagraph"/>
        <w:numPr>
          <w:ilvl w:val="2"/>
          <w:numId w:val="1"/>
        </w:numPr>
      </w:pPr>
      <w:r>
        <w:t xml:space="preserve">b.</w:t>
      </w:r>
      <w:r>
        <w:tab/>
      </w:r>
      <w:r>
        <w:t xml:space="preserve">The Planning Board may grant a special permit to modify the loading requirements; parking dimensional, landscaping, and layout requirements, including the number of required parking spaces, where it is demonstrated that with such modification there will be adequate space for off-street parking and/or loading to provide for the needs of the subject building or use. In the event a special permit application requests a reduction of the number of required parking spaces, the requirements described above in subsection (a) related to a TMP shall apply.</w:t>
      </w:r>
    </w:p>
    <w:p>
      <w:pPr>
        <w:pStyle w:val="ListParagraph"/>
        <w:numPr>
          <w:ilvl w:val="2"/>
          <w:numId w:val="1"/>
        </w:numPr>
      </w:pPr>
      <w:r>
        <w:t xml:space="preserve">c.</w:t>
      </w:r>
      <w:r>
        <w:tab/>
      </w:r>
      <w:r>
        <w:t xml:space="preserve">Where parking is reduced through a special permit under the provisions of this Article, the total reduction in parking, after applying the entitlements of this Article, shall not exceed fifty percent (50%) and may not be combined with reductions permitted in Article IV, Section 7, A. 2.</w:t>
      </w:r>
    </w:p>
    <w:p>
      <w:pPr>
        <w:pStyle w:val="Heading2"/>
      </w:pPr>
      <w:r>
        <w:t xml:space="preserve">Article VIII. Cluster Zoning</w:t>
      </w:r>
    </w:p>
    <w:p>
      <w:pPr>
        <w:pStyle w:val="Heading3"/>
      </w:pPr>
      <w:r>
        <w:t xml:space="preserve">§ 1. Purpose</w:t>
      </w:r>
    </w:p>
    <w:p>
      <w:r>
        <w:t xml:space="preserve">The purpose of this section is to provide for cluster subdivision developments and cluster developments of designed groups of single family dwellings as a means for more efficient and effective development of Worcester while also protecting its sensitive natural environment and providing for preservation of open space in both natural and improved states.</w:t>
      </w:r>
    </w:p>
    <w:p>
      <w:pPr>
        <w:pStyle w:val="Heading3"/>
      </w:pPr>
      <w:r>
        <w:t xml:space="preserve">§ 2. Cluster Subdivisions</w:t>
      </w:r>
    </w:p>
    <w:p>
      <w:pPr>
        <w:pStyle w:val="ListParagraph"/>
        <w:numPr>
          <w:ilvl w:val="0"/>
          <w:numId w:val="1"/>
        </w:numPr>
      </w:pPr>
      <w:r>
        <w:t xml:space="preserve">A.</w:t>
      </w:r>
      <w:r>
        <w:tab/>
      </w:r>
      <w:r>
        <w:t xml:space="preserve">In lieu of a subdivision under conventional dimensional controls as provided in Articles III and IV, a cluster subdivision may be developed upon the granting of both a special permit and site plan review by the Planning Board using the following standards:</w:t>
      </w:r>
    </w:p>
    <w:p>
      <w:pPr>
        <w:pStyle w:val="ListParagraph"/>
        <w:numPr>
          <w:ilvl w:val="1"/>
          <w:numId w:val="1"/>
        </w:numPr>
      </w:pPr>
      <w:r>
        <w:t xml:space="preserve">1.</w:t>
      </w:r>
      <w:r>
        <w:tab/>
      </w:r>
      <w:r>
        <w:t xml:space="preserve">The number of lots may not exceed the number permitted on the parcel determined by dividing the parcel size minus land subject to the Wetlands Protection Act and minus twenty-five (25) percent of the lot, by the minimum lot area per proposed use in zoning district. Where the applicant provides sufficient active and/or passive recreation area on the site, as determined by the Planning Board, that portion of the parcel subject to the Wetlands Protection Act utilized in this calculation may be reduced fifty (50) percent, but in no case shall total density exceed fifteen (15) percent of that allowed at the one hundred (100) percent level. Gross Sq. Footage – Ch. 131 Land – 25% of site Minimum Lot Area per Proposed Use in Zoning District</w:t>
      </w:r>
    </w:p>
    <w:p>
      <w:pPr>
        <w:pStyle w:val="ListParagraph"/>
        <w:numPr>
          <w:ilvl w:val="1"/>
          <w:numId w:val="1"/>
        </w:numPr>
      </w:pPr>
      <w:r>
        <w:t xml:space="preserve">2.</w:t>
      </w:r>
      <w:r>
        <w:tab/>
      </w:r>
      <w:r>
        <w:t xml:space="preserve">The cluster lots may be no less than fifty (50) percent of the minimum lot size in the zone.</w:t>
      </w:r>
    </w:p>
    <w:p>
      <w:pPr>
        <w:pStyle w:val="ListParagraph"/>
        <w:numPr>
          <w:ilvl w:val="1"/>
          <w:numId w:val="1"/>
        </w:numPr>
      </w:pPr>
      <w:r>
        <w:t xml:space="preserve">3.</w:t>
      </w:r>
      <w:r>
        <w:tab/>
      </w:r>
      <w:r>
        <w:t xml:space="preserve">Frontage, setback and side and rear yard dimensions shall be guided by the characteristics of the site, proposed structures and nature of the existing built environment in the area of the proposed cluster subdivision. Zero lot line development is permitted.</w:t>
      </w:r>
    </w:p>
    <w:p>
      <w:pPr>
        <w:pStyle w:val="ListParagraph"/>
        <w:numPr>
          <w:ilvl w:val="1"/>
          <w:numId w:val="1"/>
        </w:numPr>
      </w:pPr>
      <w:r>
        <w:t xml:space="preserve">4.</w:t>
      </w:r>
      <w:r>
        <w:tab/>
      </w:r>
      <w:r>
        <w:t xml:space="preserve">A maximum of forty (40) percent of each developed lot may be impervious surface.</w:t>
      </w:r>
    </w:p>
    <w:p>
      <w:pPr>
        <w:pStyle w:val="ListParagraph"/>
        <w:numPr>
          <w:ilvl w:val="1"/>
          <w:numId w:val="1"/>
        </w:numPr>
      </w:pPr>
      <w:r>
        <w:t xml:space="preserve">5.</w:t>
      </w:r>
      <w:r>
        <w:tab/>
      </w:r>
      <w:r>
        <w:t xml:space="preserve">A least twenty-five (25) percent of the net site (calculated as the gross area minus the area dedicated to road right of way) must be permanently committed as open space. The designated open space must be accessible and capable of being used. It cannot be constituted only of “unbuildable land”. Where density bonuses are given, the open space requirement may be proportionally decreased to twenty (20) percent of the net site. Such open land shall either be conveyed to the City and accepted by it for park or open space use, or be conveyed to a non-profit organization the principal purpose of which is the conservation of open space or be conveyed to a corporation or trust owned or to be owned by the owners of lots or residential units within the subdivision. If such a corporation or trust is utilized, ownership thereof shall pass with conveyances of the lots or residential units. In any case where such land is not conveyed to the City, a restriction enforceable by the City shall be recorded providing that such land shall be kept in an open or natural state and not be built for residential use or developed for accessory uses such as parking or roadway. Said land shall not be used in any other project or for calculation of units, area, setback requirements or any other purpose.</w:t>
      </w:r>
    </w:p>
    <w:p>
      <w:pPr>
        <w:pStyle w:val="ListParagraph"/>
        <w:numPr>
          <w:ilvl w:val="1"/>
          <w:numId w:val="1"/>
        </w:numPr>
      </w:pPr>
      <w:r>
        <w:t xml:space="preserve">6.</w:t>
      </w:r>
      <w:r>
        <w:tab/>
      </w:r>
      <w:r>
        <w:t xml:space="preserve">The submittal requirements and review standards including administration, application, submission requirements, fees, powers, hearings and time limits shall be those as provided in Article II and Article V. In addition, such subdivision rules and regulations as may be in force are applicable relative to standards for roadways, utilities, drainage and other aspects of site development and submittal format.</w:t>
      </w:r>
    </w:p>
    <w:p>
      <w:pPr>
        <w:pStyle w:val="Heading3"/>
      </w:pPr>
      <w:r>
        <w:t xml:space="preserve">§ 3. Cluster Groups Of Single Family Dwellings</w:t>
      </w:r>
    </w:p>
    <w:p>
      <w:pPr>
        <w:pStyle w:val="ListParagraph"/>
        <w:numPr>
          <w:ilvl w:val="0"/>
          <w:numId w:val="1"/>
        </w:numPr>
      </w:pPr>
      <w:r>
        <w:t xml:space="preserve">A.</w:t>
      </w:r>
      <w:r>
        <w:tab/>
      </w:r>
      <w:r>
        <w:t xml:space="preserve">In lieu of a subdivision under conventional dimensional controls as provided in Articles III and IV, a cluster group of single family dwellings may be developed upon the granting of a special permit and site plan review by the Planning Board under the following standards:</w:t>
      </w:r>
    </w:p>
    <w:p>
      <w:pPr>
        <w:pStyle w:val="ListParagraph"/>
        <w:numPr>
          <w:ilvl w:val="1"/>
          <w:numId w:val="1"/>
        </w:numPr>
      </w:pPr>
      <w:r>
        <w:t xml:space="preserve">1.</w:t>
      </w:r>
      <w:r>
        <w:tab/>
      </w:r>
      <w:r>
        <w:t xml:space="preserve">The number of dwellings may not exceed the number permitted on the parcel determined by dividing the parcel size minus land subject to the Wetlands Protection Act and minus twenty-five (25) percent of the lot, by the minimum lot area per proposed use in zoning district. Gross Sq. Footage – Ch. 131 Land – 25% of site Minimum Lot Area per Proposed Use in Zoning District</w:t>
      </w:r>
    </w:p>
    <w:p>
      <w:pPr>
        <w:pStyle w:val="ListParagraph"/>
        <w:numPr>
          <w:ilvl w:val="1"/>
          <w:numId w:val="1"/>
        </w:numPr>
      </w:pPr>
      <w:r>
        <w:t xml:space="preserve">2.</w:t>
      </w:r>
      <w:r>
        <w:tab/>
      </w:r>
      <w:r>
        <w:t xml:space="preserve">The single-family units may be attached, detached or a combination of both as permitted in the underlying zone. For the purposes of this section, a use allowed by special permit in the underlying zone shall be considered a use permitted in the underlying zone. Each unit must have private/direct entries and yard areas immediately adjacent to the unit for the private use of the unit occupants.</w:t>
      </w:r>
    </w:p>
    <w:p>
      <w:pPr>
        <w:pStyle w:val="ListParagraph"/>
        <w:numPr>
          <w:ilvl w:val="1"/>
          <w:numId w:val="1"/>
        </w:numPr>
      </w:pPr>
      <w:r>
        <w:t xml:space="preserve">3.</w:t>
      </w:r>
      <w:r>
        <w:tab/>
      </w:r>
      <w:r>
        <w:t xml:space="preserve">The entire site shall be designed to and shall remain in one ownership and shall be developed and maintained as a unit, excepting for units, private yards and other similarly designated spaces for private use and/or ownership. The Planning Board shall determine that the design and ownership scheme assures unified control and maintenance of all land not so individually owned.</w:t>
      </w:r>
    </w:p>
    <w:p>
      <w:pPr>
        <w:pStyle w:val="ListParagraph"/>
        <w:numPr>
          <w:ilvl w:val="1"/>
          <w:numId w:val="1"/>
        </w:numPr>
      </w:pPr>
      <w:r>
        <w:t xml:space="preserve">4.</w:t>
      </w:r>
      <w:r>
        <w:tab/>
      </w:r>
      <w:r>
        <w:t xml:space="preserve">Unit placement and configuration shall be guided by the characteristics of the site, proposed structures and nature of the existing built environment in the area of the proposed cluster subdivision.</w:t>
      </w:r>
    </w:p>
    <w:p>
      <w:pPr>
        <w:pStyle w:val="ListParagraph"/>
        <w:numPr>
          <w:ilvl w:val="1"/>
          <w:numId w:val="1"/>
        </w:numPr>
      </w:pPr>
      <w:r>
        <w:t xml:space="preserve">5.</w:t>
      </w:r>
      <w:r>
        <w:tab/>
      </w:r>
      <w:r>
        <w:t xml:space="preserve">A maximum of forty percent (40%) of the site may be impervious surface.</w:t>
      </w:r>
    </w:p>
    <w:p>
      <w:pPr>
        <w:pStyle w:val="ListParagraph"/>
        <w:numPr>
          <w:ilvl w:val="1"/>
          <w:numId w:val="1"/>
        </w:numPr>
      </w:pPr>
      <w:r>
        <w:t xml:space="preserve">6.</w:t>
      </w:r>
      <w:r>
        <w:tab/>
      </w:r>
      <w:r>
        <w:t xml:space="preserve">A contiguous portion of at least (40) forty percent of the net site (calculated as the gross area minus the area dedicated to roadway) must be permanently committed as open space. The designated open space must be accessible and capable of being used. It cannot be constituted only of “unbuildable land”. Where density bonuses are given, the open space requirement may be proportionally decreased to thirty- five (35) percent of the net site. Such open land shall either be conveyed to the City and accepted by it for park or open space use or be conveyed to a non-profit organization the principal purpose of which is the conservation of open space or to be conveyed to a corporation or trust owned or to be owned by the owners of lots or residential units within the development. If such a corporation or trust is utilized, ownership thereof shall pass with conveyances of the lots or residential units. In any case where such land is not conveyed to the City, a restriction enforceable by the City shall be recorded providing that such land shall be kept in an open or natural state and not be built for residential use or developed for accessory uses such as parking or roadway. Said land shall not be used in any other project or for calculation of units, area, setback requirements or any other purpose.</w:t>
      </w:r>
    </w:p>
    <w:p>
      <w:pPr>
        <w:pStyle w:val="ListParagraph"/>
        <w:numPr>
          <w:ilvl w:val="1"/>
          <w:numId w:val="1"/>
        </w:numPr>
      </w:pPr>
      <w:r>
        <w:t xml:space="preserve">7.</w:t>
      </w:r>
      <w:r>
        <w:tab/>
      </w:r>
      <w:r>
        <w:t xml:space="preserve">The submittal requirements and review standards including administration, application and submission requirements, fees, powers, hearings and time limits, shall be those as provided in Article II and Article V. In addition, such subdivision rules and regulations as may be in force are applicable relative to standards for roadways, utilities, drainage and other aspects of site development and submittal format.</w:t>
      </w:r>
    </w:p>
    <w:p>
      <w:pPr>
        <w:pStyle w:val="Heading3"/>
      </w:pPr>
      <w:r>
        <w:t xml:space="preserve">§ 4. Other Objectives</w:t>
      </w:r>
    </w:p>
    <w:p>
      <w:pPr>
        <w:pStyle w:val="ListParagraph"/>
        <w:numPr>
          <w:ilvl w:val="0"/>
          <w:numId w:val="1"/>
        </w:numPr>
      </w:pPr>
      <w:r>
        <w:t xml:space="preserve">A.</w:t>
      </w:r>
      <w:r>
        <w:tab/>
      </w:r>
      <w:r>
        <w:t xml:space="preserve">The following objectives are important in the development of a cluster:</w:t>
      </w:r>
    </w:p>
    <w:p>
      <w:pPr>
        <w:pStyle w:val="ListParagraph"/>
        <w:numPr>
          <w:ilvl w:val="1"/>
          <w:numId w:val="1"/>
        </w:numPr>
      </w:pPr>
      <w:r>
        <w:t xml:space="preserve">1.</w:t>
      </w:r>
      <w:r>
        <w:tab/>
      </w:r>
      <w:r>
        <w:t xml:space="preserve">It is desirable to decrease municipal costs and environmental impacts through reduction in the length of streets, utilities and drainage systems per dwelling unit served.</w:t>
      </w:r>
    </w:p>
    <w:p>
      <w:pPr>
        <w:pStyle w:val="ListParagraph"/>
        <w:numPr>
          <w:ilvl w:val="1"/>
          <w:numId w:val="1"/>
        </w:numPr>
      </w:pPr>
      <w:r>
        <w:t xml:space="preserve">2.</w:t>
      </w:r>
      <w:r>
        <w:tab/>
      </w:r>
      <w:r>
        <w:t xml:space="preserve">It is desirable to increase the scale of contiguous area assured of preservation in a natural state, off street pathways and trails, recreation areas open at least to all residents of the cluster and wilderness areas.</w:t>
      </w:r>
    </w:p>
    <w:p>
      <w:pPr>
        <w:pStyle w:val="ListParagraph"/>
        <w:numPr>
          <w:ilvl w:val="1"/>
          <w:numId w:val="1"/>
        </w:numPr>
      </w:pPr>
      <w:r>
        <w:t xml:space="preserve">3.</w:t>
      </w:r>
      <w:r>
        <w:tab/>
      </w:r>
      <w:r>
        <w:t xml:space="preserve">It is desirable that all existing scenic vistas be respected and preserved and that new scenic vistas be created.</w:t>
      </w:r>
    </w:p>
    <w:p>
      <w:pPr>
        <w:pStyle w:val="ListParagraph"/>
        <w:numPr>
          <w:ilvl w:val="1"/>
          <w:numId w:val="1"/>
        </w:numPr>
      </w:pPr>
      <w:r>
        <w:t xml:space="preserve">4.</w:t>
      </w:r>
      <w:r>
        <w:tab/>
      </w:r>
      <w:r>
        <w:t xml:space="preserve">It is desirable to increase vehicular safety by having fewer, better located and designed egresses onto existing streets.</w:t>
      </w:r>
    </w:p>
    <w:p>
      <w:pPr>
        <w:pStyle w:val="ListParagraph"/>
        <w:numPr>
          <w:ilvl w:val="1"/>
          <w:numId w:val="1"/>
        </w:numPr>
      </w:pPr>
      <w:r>
        <w:t xml:space="preserve">5.</w:t>
      </w:r>
      <w:r>
        <w:tab/>
      </w:r>
      <w:r>
        <w:t xml:space="preserve">It is desirable to preserve environmental quality by reduction of the total area over which vegetation is disturbed by cut or fill or displacement; by reduction in critical lands (slopes in excess of fifteen percent (15%), land within 100 feet of a water body, wetlands or streams having outstanding or rare vegetation) disturbed by construction; reduction of the extent of waterways altered or relocated; reduction in the volume of cut and fill for roads and construction sites.</w:t>
      </w:r>
    </w:p>
    <w:p>
      <w:pPr>
        <w:pStyle w:val="ListParagraph"/>
        <w:numPr>
          <w:ilvl w:val="1"/>
          <w:numId w:val="1"/>
        </w:numPr>
      </w:pPr>
      <w:r>
        <w:t xml:space="preserve">6.</w:t>
      </w:r>
      <w:r>
        <w:tab/>
      </w:r>
      <w:r>
        <w:t xml:space="preserve">It is desirable to have the design and location and materials of the structure(s) on the site be sensitive to the natural environmental conditions, vistas and abutting properties.</w:t>
      </w:r>
    </w:p>
    <w:p>
      <w:pPr>
        <w:pStyle w:val="ListParagraph"/>
        <w:numPr>
          <w:ilvl w:val="1"/>
          <w:numId w:val="1"/>
        </w:numPr>
      </w:pPr>
      <w:r>
        <w:t xml:space="preserve">7.</w:t>
      </w:r>
      <w:r>
        <w:tab/>
      </w:r>
      <w:r>
        <w:t xml:space="preserve">There should be positive benefit to the City in some important respects, such as reduction of environmental damage, better controlled traffic, and preservation of current character through location of reserved open space.</w:t>
      </w:r>
    </w:p>
    <w:p>
      <w:pPr>
        <w:pStyle w:val="Heading2"/>
      </w:pPr>
      <w:r>
        <w:t xml:space="preserve">Article IX. Commercial Corridors Overlay District</w:t>
      </w:r>
    </w:p>
    <w:p>
      <w:pPr>
        <w:pStyle w:val="Heading3"/>
      </w:pPr>
      <w:r>
        <w:t xml:space="preserve">§ 5. Permitted Uses Regulation</w:t>
      </w:r>
    </w:p>
    <w:p/>
    <w:p>
      <w:pPr>
        <w:pStyle w:val="Heading3"/>
      </w:pPr>
      <w:r>
        <w:t xml:space="preserve">§ 1. Purpose and Intent</w:t>
      </w:r>
    </w:p>
    <w:p>
      <w:pPr>
        <w:pStyle w:val="ListParagraph"/>
        <w:numPr>
          <w:ilvl w:val="0"/>
          <w:numId w:val="1"/>
        </w:numPr>
      </w:pPr>
      <w:r>
        <w:t xml:space="preserve">A.</w:t>
      </w:r>
      <w:r>
        <w:tab/>
      </w:r>
      <w:r>
        <w:t xml:space="preserve">The overall intent of the Commercial Corridors Overlay District is to encourage compact, pedestrian friendly development that is physically and functionally integrated through site design, dimensional and parking standards that limit parking, provide flexibility for development initiatives and provide incentives for mixed-use development. Specifically, the purposes and objectives of the Commercial Corridors Overlay District are:</w:t>
      </w:r>
    </w:p>
    <w:p>
      <w:pPr>
        <w:pStyle w:val="ListParagraph"/>
        <w:numPr>
          <w:ilvl w:val="1"/>
          <w:numId w:val="1"/>
        </w:numPr>
      </w:pPr>
      <w:r>
        <w:t xml:space="preserve">1.</w:t>
      </w:r>
      <w:r>
        <w:tab/>
      </w:r>
      <w:r>
        <w:t xml:space="preserve">To promote the economic development, general welfare and safety of the community through the use of basic urban design standards in special development areas.</w:t>
      </w:r>
    </w:p>
    <w:p>
      <w:pPr>
        <w:pStyle w:val="ListParagraph"/>
        <w:numPr>
          <w:ilvl w:val="1"/>
          <w:numId w:val="1"/>
        </w:numPr>
      </w:pPr>
      <w:r>
        <w:t xml:space="preserve">2.</w:t>
      </w:r>
      <w:r>
        <w:tab/>
      </w:r>
      <w:r>
        <w:t xml:space="preserve">To encourage compact developments of compatible land uses at urban densities.</w:t>
      </w:r>
    </w:p>
    <w:p>
      <w:pPr>
        <w:pStyle w:val="ListParagraph"/>
        <w:numPr>
          <w:ilvl w:val="1"/>
          <w:numId w:val="1"/>
        </w:numPr>
      </w:pPr>
      <w:r>
        <w:t xml:space="preserve">3.</w:t>
      </w:r>
      <w:r>
        <w:tab/>
      </w:r>
      <w:r>
        <w:t xml:space="preserve">To encourage reuse and redevelopment of existing buildings and building lots.</w:t>
      </w:r>
    </w:p>
    <w:p>
      <w:pPr>
        <w:pStyle w:val="ListParagraph"/>
        <w:numPr>
          <w:ilvl w:val="1"/>
          <w:numId w:val="1"/>
        </w:numPr>
      </w:pPr>
      <w:r>
        <w:t xml:space="preserve">4.</w:t>
      </w:r>
      <w:r>
        <w:tab/>
      </w:r>
      <w:r>
        <w:t xml:space="preserve">To foster the development of high-quality, pedestrian-scale environments through site and building design that provides an aesthetically pleasing pedestrian environment that is accessible, compact, safe and inviting.</w:t>
      </w:r>
    </w:p>
    <w:p>
      <w:pPr>
        <w:pStyle w:val="ListParagraph"/>
        <w:numPr>
          <w:ilvl w:val="1"/>
          <w:numId w:val="1"/>
        </w:numPr>
      </w:pPr>
      <w:r>
        <w:t xml:space="preserve">5.</w:t>
      </w:r>
      <w:r>
        <w:tab/>
      </w:r>
      <w:r>
        <w:t xml:space="preserve">To promote urban design that is consistent with the City of Worcester’s economic development, planning and programmatic efforts.</w:t>
      </w:r>
    </w:p>
    <w:p>
      <w:pPr>
        <w:pStyle w:val="ListParagraph"/>
        <w:numPr>
          <w:ilvl w:val="1"/>
          <w:numId w:val="1"/>
        </w:numPr>
      </w:pPr>
      <w:r>
        <w:t xml:space="preserve">6.</w:t>
      </w:r>
      <w:r>
        <w:tab/>
      </w:r>
      <w:r>
        <w:t xml:space="preserve">To avoid over-dedication of land to surface parking by preventing excessive accessory off-street parking.</w:t>
      </w:r>
    </w:p>
    <w:p>
      <w:pPr>
        <w:pStyle w:val="ListParagraph"/>
        <w:numPr>
          <w:ilvl w:val="1"/>
          <w:numId w:val="1"/>
        </w:numPr>
      </w:pPr>
      <w:r>
        <w:t xml:space="preserve">7.</w:t>
      </w:r>
      <w:r>
        <w:tab/>
      </w:r>
      <w:r>
        <w:t xml:space="preserve">To preserve and enhance the historical, cultural, and architectural assets of the city.</w:t>
      </w:r>
    </w:p>
    <w:p>
      <w:pPr>
        <w:pStyle w:val="ListParagraph"/>
        <w:numPr>
          <w:ilvl w:val="1"/>
          <w:numId w:val="1"/>
        </w:numPr>
      </w:pPr>
      <w:r>
        <w:t xml:space="preserve">8.</w:t>
      </w:r>
      <w:r>
        <w:tab/>
      </w:r>
      <w:r>
        <w:t xml:space="preserve">To provide flexibility with regard to dimensional requirements in a manner that is consistent with the purposes and intent of this Article.</w:t>
      </w:r>
    </w:p>
    <w:p>
      <w:pPr>
        <w:pStyle w:val="Heading3"/>
      </w:pPr>
      <w:r>
        <w:t xml:space="preserve">§ 2. Establishment</w:t>
      </w:r>
    </w:p>
    <w:p>
      <w:r>
        <w:t xml:space="preserve">The Commercial Corridors Overlay District is hereby established, the boundaries of which are shown on the City of Worcester Zoning Map.</w:t>
      </w:r>
    </w:p>
    <w:p>
      <w:pPr>
        <w:pStyle w:val="Heading3"/>
      </w:pPr>
      <w:r>
        <w:t xml:space="preserve">§ 3. Administration</w:t>
      </w:r>
    </w:p>
    <w:p>
      <w:r>
        <w:t xml:space="preserve">The Special Permit Granting Authority (SPGA) shall be the Planning Board.</w:t>
      </w:r>
    </w:p>
    <w:p>
      <w:pPr>
        <w:pStyle w:val="Heading3"/>
      </w:pPr>
      <w:r>
        <w:t xml:space="preserve">§ 4. Definitions of Terms and Phrases</w:t>
      </w:r>
    </w:p>
    <w:p>
      <w:r>
        <w:t xml:space="preserve">ACTIVE FAÇADE – The principal face or front of a building articulated to engage the pedestrian environment through the use of windows that provide visual access into the building, public entrances, and distinctly different architectural treatment of the ground floor or lower levels of buildings.</w:t>
      </w:r>
    </w:p>
    <w:p>
      <w:pPr>
        <w:ind w:left="490"/>
      </w:pPr>
      <w:r>
        <w:rPr>
          <w:rStyle w:val="Term"/>
        </w:rPr>
        <w:t xml:space="preserve">PRIMARY ENTRANCE</w:t>
      </w:r>
      <w:r>
        <w:t xml:space="preserve"> PRIMARY ENTRANCE – A pedestrian accessible entrance into a building which would be reasonably perceived by the public to be the entrance available for public use based on its size, design and signage, if any.</w:t>
      </w:r>
    </w:p>
    <w:p>
      <w:pPr>
        <w:ind w:left="490"/>
      </w:pPr>
      <w:r>
        <w:rPr>
          <w:rStyle w:val="Term"/>
        </w:rPr>
        <w:t xml:space="preserve">MIXED-USE DEVELOPMENT</w:t>
      </w:r>
      <w:r>
        <w:t xml:space="preserve"> MIXED-USE DEVELOPMENT – A development characterized by two (2) or more distinct uses that are physically integrated in a compatible way within a building.</w:t>
      </w:r>
    </w:p>
    <w:p>
      <w:pPr>
        <w:ind w:left="490"/>
      </w:pPr>
      <w:r>
        <w:rPr>
          <w:rStyle w:val="Term"/>
        </w:rPr>
        <w:t xml:space="preserve">LANDSCAPED AREA</w:t>
      </w:r>
      <w:r>
        <w:t xml:space="preserve"> LANDSCAPED AREA – An area that is intended to provide light and air, and is designed for aesthetic, environmental, or recreational purposes. Open space(s) may consist of and include, but are not limited to, lawns, decorative plantings, walkways, active and passive recreation areas, playgrounds, fountains, landscaped areas, plazas and water courses and fountains. Open space(s) shall not include driveways, parking lots, vehicle loading areas, or any other surfaces designed or intended for vehicular travel.</w:t>
      </w:r>
    </w:p>
    <w:p>
      <w:pPr>
        <w:ind w:left="490"/>
      </w:pPr>
      <w:r>
        <w:rPr>
          <w:rStyle w:val="Term"/>
        </w:rPr>
        <w:t xml:space="preserve">WINDOWS that provide VISUAL ACCESS</w:t>
      </w:r>
      <w:r>
        <w:t xml:space="preserve"> WINDOWS that provide VISUAL ACCESS – Windows that are transparent and extensive enough (both vertically and horizontally) to allow the view of activities within a building from the closest sidewalk and/or nearby streets.</w:t>
      </w:r>
    </w:p>
    <w:p>
      <w:pPr>
        <w:pStyle w:val="Heading3"/>
      </w:pPr>
      <w:r>
        <w:t xml:space="preserve">§ 5. Permitted Uses Regulation</w:t>
      </w:r>
    </w:p>
    <w:p>
      <w:pPr>
        <w:pStyle w:val="ListParagraph"/>
        <w:numPr>
          <w:ilvl w:val="0"/>
          <w:numId w:val="1"/>
        </w:numPr>
      </w:pPr>
      <w:r>
        <w:t xml:space="preserve">A.</w:t>
      </w:r>
      <w:r>
        <w:tab/>
      </w:r>
      <w:r>
        <w:t xml:space="preserve">Permitted Uses All uses permitted in the underlying zones, as provided in Article IV, Table 4.1, are permitted in the Commercial Corridors Overlay District, except the following:</w:t>
      </w:r>
    </w:p>
    <w:p>
      <w:pPr>
        <w:pStyle w:val="ListParagraph"/>
        <w:numPr>
          <w:ilvl w:val="1"/>
          <w:numId w:val="1"/>
        </w:numPr>
      </w:pPr>
      <w:r>
        <w:t xml:space="preserve">1.</w:t>
      </w:r>
      <w:r>
        <w:tab/>
      </w:r>
      <w:r>
        <w:t xml:space="preserve">Automobile Refueling Station; Auto/Truck body or paint shop; Motor vehicle service, repair, garage, display; Open lot storage, except as provided in (a) below.</w:t>
      </w:r>
    </w:p>
    <w:p>
      <w:pPr>
        <w:pStyle w:val="ListParagraph"/>
        <w:numPr>
          <w:ilvl w:val="2"/>
          <w:numId w:val="1"/>
        </w:numPr>
      </w:pPr>
      <w:r>
        <w:t xml:space="preserve">a)</w:t>
      </w:r>
      <w:r>
        <w:tab/>
      </w:r>
      <w:r>
        <w:t xml:space="preserve">Where allowed by the underlying zone, Auto/Truck body or paint shop; Motor vehicle service, repair, garage uses may be allowed by special permit in existing buildings constructed prior to January 1, 1950 that were built and previously used for the express purpose of serving such use, provided that the building still retains original physical features central to the proposed use. In addition to the special permit review criteria found in Article II of this Ordinance, the Planning Board shall also consider whether an existing building retains physical features, such as repair bays and/or specialized built-in equipment, and whether these characteristics are unique and central to the use proposed.</w:t>
      </w:r>
    </w:p>
    <w:p>
      <w:pPr>
        <w:pStyle w:val="ListParagraph"/>
        <w:numPr>
          <w:ilvl w:val="1"/>
          <w:numId w:val="1"/>
        </w:numPr>
      </w:pPr>
      <w:r>
        <w:t xml:space="preserve">2.</w:t>
      </w:r>
      <w:r>
        <w:tab/>
      </w:r>
      <w:r>
        <w:t xml:space="preserve">Motor vehicle/trailer/boat sales.</w:t>
      </w:r>
    </w:p>
    <w:p>
      <w:pPr>
        <w:pStyle w:val="ListParagraph"/>
        <w:numPr>
          <w:ilvl w:val="1"/>
          <w:numId w:val="1"/>
        </w:numPr>
      </w:pPr>
      <w:r>
        <w:t xml:space="preserve">3.</w:t>
      </w:r>
      <w:r>
        <w:tab/>
      </w:r>
      <w:r>
        <w:t xml:space="preserve">Single-family detached dwelling; Two-family detached dwelling. Uses involving drive-through service, subject to additional restrictions detailed in item (C) below. Where permitted, self-storage uses (1) may not occupy the ground floor of any building three or more stories in height, nor more than 50 percent of the ground floor of any building two stories or less in height; and (2) and may not comprise more than 50 percent of the gross square footage of buildings and enclosed spaces on the property.</w:t>
      </w:r>
    </w:p>
    <w:p>
      <w:pPr>
        <w:pStyle w:val="ListParagraph"/>
        <w:numPr>
          <w:ilvl w:val="0"/>
          <w:numId w:val="1"/>
        </w:numPr>
      </w:pPr>
      <w:r>
        <w:t xml:space="preserve">B.</w:t>
      </w:r>
      <w:r>
        <w:tab/>
      </w:r>
      <w:r>
        <w:t xml:space="preserve">Multi-Family and Mixed-Use Development The following uses, if not allowed as of right in the underlying zoning district, may be permitted in the CCOD by special permit of the Planning Board: conversion of existing buildings or construction of new buildings for mixed-use development with a residential component or with loft/creative entrepreneurs space, and multi-family dwellings.</w:t>
      </w:r>
    </w:p>
    <w:p>
      <w:pPr>
        <w:pStyle w:val="ListParagraph"/>
        <w:numPr>
          <w:ilvl w:val="0"/>
          <w:numId w:val="1"/>
        </w:numPr>
      </w:pPr>
      <w:r>
        <w:t xml:space="preserve">C.</w:t>
      </w:r>
      <w:r>
        <w:tab/>
      </w:r>
      <w:r>
        <w:t xml:space="preserve">Drive-Through Facilities and Services. All buildings and uses that provide drive-through service shall comply with the provisions of Article IV, Section-7(A)(7) except as modified here within.</w:t>
      </w:r>
    </w:p>
    <w:p>
      <w:pPr>
        <w:pStyle w:val="ListParagraph"/>
        <w:numPr>
          <w:ilvl w:val="1"/>
          <w:numId w:val="1"/>
        </w:numPr>
      </w:pPr>
      <w:r>
        <w:t xml:space="preserve">1.</w:t>
      </w:r>
      <w:r>
        <w:tab/>
      </w:r>
      <w:r>
        <w:t xml:space="preserve">Special Permit Required All drive-through facilities shall require a special permit. Within the Commercial Corridors Overlay District, the Planning Board shall be the Special Permit Granting Authority for drive- through services and facilities. In addition to the special permit criteria described in Article II, Section-6(A)(2), the following criteria shall be considered:</w:t>
      </w:r>
    </w:p>
    <w:p>
      <w:pPr>
        <w:pStyle w:val="ListParagraph"/>
        <w:numPr>
          <w:ilvl w:val="2"/>
          <w:numId w:val="1"/>
        </w:numPr>
      </w:pPr>
      <w:r>
        <w:t xml:space="preserve">a)</w:t>
      </w:r>
      <w:r>
        <w:tab/>
      </w:r>
      <w:r>
        <w:t xml:space="preserve">Proximity to residential uses and potential impacts to residents resulting from proposed drive-through design and operating characteristics.</w:t>
      </w:r>
    </w:p>
    <w:p>
      <w:pPr>
        <w:pStyle w:val="ListParagraph"/>
        <w:numPr>
          <w:ilvl w:val="2"/>
          <w:numId w:val="1"/>
        </w:numPr>
      </w:pPr>
      <w:r>
        <w:t xml:space="preserve">b)</w:t>
      </w:r>
      <w:r>
        <w:tab/>
      </w:r>
      <w:r>
        <w:t xml:space="preserve">Whether the proposed site layout will have a detrimental effect on the street facade, require excessive driveway curb cuts, or adversely impact the pedestrian environment.</w:t>
      </w:r>
    </w:p>
    <w:p>
      <w:pPr>
        <w:pStyle w:val="ListParagraph"/>
        <w:numPr>
          <w:ilvl w:val="2"/>
          <w:numId w:val="1"/>
        </w:numPr>
      </w:pPr>
      <w:r>
        <w:t xml:space="preserve">c)</w:t>
      </w:r>
      <w:r>
        <w:tab/>
      </w:r>
      <w:r>
        <w:t xml:space="preserve">Screening of the drive-through service and lanes from the fronting street.</w:t>
      </w:r>
    </w:p>
    <w:p>
      <w:pPr>
        <w:pStyle w:val="ListParagraph"/>
        <w:numPr>
          <w:ilvl w:val="1"/>
          <w:numId w:val="1"/>
        </w:numPr>
      </w:pPr>
      <w:r>
        <w:t xml:space="preserve">2.</w:t>
      </w:r>
      <w:r>
        <w:tab/>
      </w:r>
      <w:r>
        <w:t xml:space="preserve">Locations Allowed</w:t>
      </w:r>
    </w:p>
    <w:p>
      <w:pPr>
        <w:pStyle w:val="ListParagraph"/>
        <w:numPr>
          <w:ilvl w:val="2"/>
          <w:numId w:val="1"/>
        </w:numPr>
      </w:pPr>
      <w:r>
        <w:t xml:space="preserve">a)</w:t>
      </w:r>
      <w:r>
        <w:tab/>
      </w:r>
      <w:r>
        <w:t xml:space="preserve">All facilities related to drive-through service, including transaction windows, menu boards, and speakers, shall be located a minimum of one hundred fifty (150) feet from any residential zoning district or existing dwelling unit. All drive-through lanes and escape lanes shall be located a minimum of fifty (50) feet from any residential zoning district or existing dwelling unit.</w:t>
      </w:r>
    </w:p>
    <w:p>
      <w:pPr>
        <w:pStyle w:val="ListParagraph"/>
        <w:numPr>
          <w:ilvl w:val="2"/>
          <w:numId w:val="1"/>
        </w:numPr>
      </w:pPr>
      <w:r>
        <w:t xml:space="preserve">i)</w:t>
      </w:r>
      <w:r>
        <w:tab/>
      </w:r>
      <w:r>
        <w:t xml:space="preserve">Expansion or modification of pre-existing, legally established drive-through uses within the aforementioned residential buffers is allowed provided that modifications or expansion of such facilities does not further encroach on the neighboring residences.</w:t>
      </w:r>
    </w:p>
    <w:p>
      <w:pPr>
        <w:pStyle w:val="ListParagraph"/>
        <w:numPr>
          <w:ilvl w:val="2"/>
          <w:numId w:val="1"/>
        </w:numPr>
      </w:pPr>
      <w:r>
        <w:t xml:space="preserve">b)</w:t>
      </w:r>
      <w:r>
        <w:tab/>
      </w:r>
      <w:r>
        <w:t xml:space="preserve">To preserve the pedestrian oriented, street fronting character of these corridors, uses with drive-through facilities are prohibited on lots having driveway or other direct vehicular connections to the following streets:</w:t>
      </w:r>
    </w:p>
    <w:p>
      <w:pPr>
        <w:pStyle w:val="ListParagraph"/>
        <w:numPr>
          <w:ilvl w:val="2"/>
          <w:numId w:val="1"/>
        </w:numPr>
      </w:pPr>
      <w:r>
        <w:t xml:space="preserve">i)</w:t>
      </w:r>
      <w:r>
        <w:tab/>
      </w:r>
      <w:r>
        <w:t xml:space="preserve">Franklin Street, between Main Street and Church Street</w:t>
      </w:r>
    </w:p>
    <w:p>
      <w:pPr>
        <w:pStyle w:val="ListParagraph"/>
        <w:numPr>
          <w:ilvl w:val="3"/>
          <w:numId w:val="1"/>
        </w:numPr>
      </w:pPr>
      <w:r>
        <w:t xml:space="preserve">ii)</w:t>
      </w:r>
      <w:r>
        <w:tab/>
      </w:r>
      <w:r>
        <w:t xml:space="preserve">Front Street, between Main Street and Church Street</w:t>
      </w:r>
    </w:p>
    <w:p>
      <w:pPr>
        <w:pStyle w:val="ListParagraph"/>
        <w:numPr>
          <w:ilvl w:val="3"/>
          <w:numId w:val="1"/>
        </w:numPr>
      </w:pPr>
      <w:r>
        <w:t xml:space="preserve">iii)</w:t>
      </w:r>
      <w:r>
        <w:tab/>
      </w:r>
      <w:r>
        <w:t xml:space="preserve">Grafton Street, between Mendon Street and Rice Square</w:t>
      </w:r>
    </w:p>
    <w:p>
      <w:pPr>
        <w:pStyle w:val="ListParagraph"/>
        <w:numPr>
          <w:ilvl w:val="3"/>
          <w:numId w:val="1"/>
        </w:numPr>
      </w:pPr>
      <w:r>
        <w:t xml:space="preserve">iv)</w:t>
      </w:r>
      <w:r>
        <w:tab/>
      </w:r>
      <w:r>
        <w:t xml:space="preserve">Green Street, between Foster Street and Kelly Square</w:t>
      </w:r>
    </w:p>
    <w:p>
      <w:pPr>
        <w:pStyle w:val="ListParagraph"/>
        <w:numPr>
          <w:ilvl w:val="2"/>
          <w:numId w:val="1"/>
        </w:numPr>
      </w:pPr>
      <w:r>
        <w:t xml:space="preserve">v)</w:t>
      </w:r>
      <w:r>
        <w:tab/>
      </w:r>
      <w:r>
        <w:t xml:space="preserve">Harding Street, between Arwick Avenue and Kelley Square</w:t>
      </w:r>
    </w:p>
    <w:p>
      <w:pPr>
        <w:pStyle w:val="ListParagraph"/>
        <w:numPr>
          <w:ilvl w:val="3"/>
          <w:numId w:val="1"/>
        </w:numPr>
      </w:pPr>
      <w:r>
        <w:t xml:space="preserve">vi)</w:t>
      </w:r>
      <w:r>
        <w:tab/>
      </w:r>
      <w:r>
        <w:t xml:space="preserve">Highland Street, between Schussler Road and North Ashland Street</w:t>
      </w:r>
    </w:p>
    <w:p>
      <w:pPr>
        <w:pStyle w:val="ListParagraph"/>
        <w:numPr>
          <w:ilvl w:val="3"/>
          <w:numId w:val="1"/>
        </w:numPr>
      </w:pPr>
      <w:r>
        <w:t xml:space="preserve">vii)</w:t>
      </w:r>
      <w:r>
        <w:tab/>
      </w:r>
      <w:r>
        <w:t xml:space="preserve">Main Street, between Highland Street and May Street</w:t>
      </w:r>
    </w:p>
    <w:p>
      <w:pPr>
        <w:pStyle w:val="ListParagraph"/>
        <w:numPr>
          <w:ilvl w:val="3"/>
          <w:numId w:val="1"/>
        </w:numPr>
      </w:pPr>
      <w:r>
        <w:t xml:space="preserve">viii)</w:t>
      </w:r>
      <w:r>
        <w:tab/>
      </w:r>
      <w:r>
        <w:t xml:space="preserve">Mechanic Street, between Main Street and Commercial Street</w:t>
      </w:r>
    </w:p>
    <w:p>
      <w:pPr>
        <w:pStyle w:val="ListParagraph"/>
        <w:numPr>
          <w:ilvl w:val="3"/>
          <w:numId w:val="1"/>
        </w:numPr>
      </w:pPr>
      <w:r>
        <w:t xml:space="preserve">ix)</w:t>
      </w:r>
      <w:r>
        <w:tab/>
      </w:r>
      <w:r>
        <w:t xml:space="preserve">Millbury Street, between Arwick Avenue and Kelley Square</w:t>
      </w:r>
    </w:p>
    <w:p>
      <w:pPr>
        <w:pStyle w:val="ListParagraph"/>
        <w:numPr>
          <w:ilvl w:val="2"/>
          <w:numId w:val="1"/>
        </w:numPr>
      </w:pPr>
      <w:r>
        <w:t xml:space="preserve">x)</w:t>
      </w:r>
      <w:r>
        <w:tab/>
      </w:r>
      <w:r>
        <w:t xml:space="preserve">Pleasant Street, between Main Street and Merrick Street</w:t>
      </w:r>
    </w:p>
    <w:p>
      <w:pPr>
        <w:pStyle w:val="ListParagraph"/>
        <w:numPr>
          <w:ilvl w:val="3"/>
          <w:numId w:val="1"/>
        </w:numPr>
      </w:pPr>
      <w:r>
        <w:t xml:space="preserve">xi)</w:t>
      </w:r>
      <w:r>
        <w:tab/>
      </w:r>
      <w:r>
        <w:t xml:space="preserve">Shrewsbury Street, between Washington Square and Granby Road</w:t>
      </w:r>
    </w:p>
    <w:p>
      <w:pPr>
        <w:pStyle w:val="ListParagraph"/>
        <w:numPr>
          <w:ilvl w:val="3"/>
          <w:numId w:val="1"/>
        </w:numPr>
      </w:pPr>
      <w:r>
        <w:t xml:space="preserve">xii)</w:t>
      </w:r>
      <w:r>
        <w:tab/>
      </w:r>
      <w:r>
        <w:t xml:space="preserve">Southbridge Street, between Myrtle Street and Main Street</w:t>
      </w:r>
    </w:p>
    <w:p>
      <w:pPr>
        <w:pStyle w:val="ListParagraph"/>
        <w:numPr>
          <w:ilvl w:val="3"/>
          <w:numId w:val="1"/>
        </w:numPr>
      </w:pPr>
      <w:r>
        <w:t xml:space="preserve">xiii)</w:t>
      </w:r>
      <w:r>
        <w:tab/>
      </w:r>
      <w:r>
        <w:t xml:space="preserve">Water Street, between Kelley Square and Winter Street</w:t>
      </w:r>
    </w:p>
    <w:p>
      <w:pPr>
        <w:pStyle w:val="ListParagraph"/>
        <w:numPr>
          <w:ilvl w:val="1"/>
          <w:numId w:val="1"/>
        </w:numPr>
      </w:pPr>
      <w:r>
        <w:t xml:space="preserve">3.</w:t>
      </w:r>
      <w:r>
        <w:tab/>
      </w:r>
      <w:r>
        <w:t xml:space="preserve">Design Aspects</w:t>
      </w:r>
    </w:p>
    <w:p>
      <w:pPr>
        <w:pStyle w:val="ListParagraph"/>
        <w:numPr>
          <w:ilvl w:val="2"/>
          <w:numId w:val="1"/>
        </w:numPr>
      </w:pPr>
      <w:r>
        <w:t xml:space="preserve">a)</w:t>
      </w:r>
      <w:r>
        <w:tab/>
      </w:r>
      <w:r>
        <w:t xml:space="preserve">Drive-through lanes, bypass lanes, and stacking lanes are prohibited between the building and the fronting street. This provision shall not apply to drive-throughs serving interior buildings of a multi-building site.</w:t>
      </w:r>
    </w:p>
    <w:p>
      <w:pPr>
        <w:pStyle w:val="ListParagraph"/>
        <w:numPr>
          <w:ilvl w:val="2"/>
          <w:numId w:val="1"/>
        </w:numPr>
      </w:pPr>
      <w:r>
        <w:t xml:space="preserve">b)</w:t>
      </w:r>
      <w:r>
        <w:tab/>
      </w:r>
      <w:r>
        <w:t xml:space="preserve">Pedestrian access shall be maintained and prioritized across any intersecting drive- through lane through provision of a concrete walkway or other similar treatment that emphasizes the pedestrian routes between parking areas and buildings in order to provide a safe and comfortable pedestrian crossing.</w:t>
      </w:r>
    </w:p>
    <w:p>
      <w:pPr>
        <w:pStyle w:val="ListParagraph"/>
        <w:numPr>
          <w:ilvl w:val="2"/>
          <w:numId w:val="1"/>
        </w:numPr>
      </w:pPr>
      <w:r>
        <w:t xml:space="preserve">c)</w:t>
      </w:r>
      <w:r>
        <w:tab/>
      </w:r>
      <w:r>
        <w:t xml:space="preserve">All driveway entrances, including stacking lane entrances, must be at least 50 feet from an intersection. The distance is measured along the property line from the junction of the two street lot lines to the nearest edge of the entrance.</w:t>
      </w:r>
    </w:p>
    <w:p>
      <w:pPr>
        <w:pStyle w:val="ListParagraph"/>
        <w:numPr>
          <w:ilvl w:val="2"/>
          <w:numId w:val="1"/>
        </w:numPr>
      </w:pPr>
      <w:r>
        <w:t xml:space="preserve">d)</w:t>
      </w:r>
      <w:r>
        <w:tab/>
      </w:r>
      <w:r>
        <w:t xml:space="preserve">Entrances to drive-through, stacking and escape lanes should be located a minimum of forty (40) feet from any driveway that provides access to the lot.</w:t>
      </w:r>
    </w:p>
    <w:p>
      <w:pPr>
        <w:pStyle w:val="ListParagraph"/>
        <w:numPr>
          <w:ilvl w:val="2"/>
          <w:numId w:val="1"/>
        </w:numPr>
      </w:pPr>
      <w:r>
        <w:t xml:space="preserve">e)</w:t>
      </w:r>
      <w:r>
        <w:tab/>
      </w:r>
      <w:r>
        <w:t xml:space="preserve">Within the Commercial Corridors Overlay District only, drive-through and escape lanes shall comply with the following minimum length requirements:</w:t>
      </w:r>
    </w:p>
    <w:p>
      <w:pPr>
        <w:pStyle w:val="ListParagraph"/>
        <w:numPr>
          <w:ilvl w:val="2"/>
          <w:numId w:val="1"/>
        </w:numPr>
      </w:pPr>
      <w:r>
        <w:t xml:space="preserve">i)</w:t>
      </w:r>
      <w:r>
        <w:tab/>
      </w:r>
      <w:r>
        <w:t xml:space="preserve">Fast Food /Restaurant/Coffee Shop 180 feet</w:t>
      </w:r>
    </w:p>
    <w:p>
      <w:pPr>
        <w:pStyle w:val="ListParagraph"/>
        <w:numPr>
          <w:ilvl w:val="3"/>
          <w:numId w:val="1"/>
        </w:numPr>
      </w:pPr>
      <w:r>
        <w:t xml:space="preserve">ii)</w:t>
      </w:r>
      <w:r>
        <w:tab/>
      </w:r>
      <w:r>
        <w:t xml:space="preserve">Bank /Credit Union / ATM 80 feet</w:t>
      </w:r>
    </w:p>
    <w:p>
      <w:pPr>
        <w:pStyle w:val="ListParagraph"/>
        <w:numPr>
          <w:ilvl w:val="3"/>
          <w:numId w:val="1"/>
        </w:numPr>
      </w:pPr>
      <w:r>
        <w:t xml:space="preserve">iii)</w:t>
      </w:r>
      <w:r>
        <w:tab/>
      </w:r>
      <w:r>
        <w:t xml:space="preserve">Pharmacy / Convenience Store 80 feet</w:t>
      </w:r>
    </w:p>
    <w:p>
      <w:pPr>
        <w:pStyle w:val="ListParagraph"/>
        <w:numPr>
          <w:ilvl w:val="3"/>
          <w:numId w:val="1"/>
        </w:numPr>
      </w:pPr>
      <w:r>
        <w:t xml:space="preserve">iv)</w:t>
      </w:r>
      <w:r>
        <w:tab/>
      </w:r>
      <w:r>
        <w:t xml:space="preserve">Dry Cleaner / Laundry 60 feet</w:t>
      </w:r>
    </w:p>
    <w:p>
      <w:pPr>
        <w:pStyle w:val="ListParagraph"/>
        <w:numPr>
          <w:ilvl w:val="0"/>
          <w:numId w:val="1"/>
        </w:numPr>
      </w:pPr>
      <w:r>
        <w:t xml:space="preserve">D.</w:t>
      </w:r>
      <w:r>
        <w:tab/>
      </w:r>
      <w:r>
        <w:t xml:space="preserve">Non-Accessory Surface Parking Facilities in Business, General – 6 (BG-6) zones. Notwithstanding anything to the contrary provided in Article IV, Table 4.1, non-accessory surface parking facilities are not permitted within the Commercial Corridors Overlay District where the underlying zone is BG-6. For the purposes of this ordinance, surface parking is defined as a parking facility without a structure above or below it.</w:t>
      </w:r>
    </w:p>
    <w:p>
      <w:pPr>
        <w:pStyle w:val="Heading3"/>
      </w:pPr>
      <w:r>
        <w:t xml:space="preserve">§ 6. Dimensional and Landscaping Requirements</w:t>
      </w:r>
    </w:p>
    <w:p>
      <w:r>
        <w:t xml:space="preserve">Notwithstanding the provisions of Article IV, Section-5, Table 4.2, Article IV, Section-7 and Article V, Section-5 to the contrary, the dimensional requirements set forth in this section shall apply within the Commercial Corridors Overlay District.</w:t>
      </w:r>
    </w:p>
    <w:p>
      <w:pPr>
        <w:pStyle w:val="ListParagraph"/>
        <w:numPr>
          <w:ilvl w:val="0"/>
          <w:numId w:val="1"/>
        </w:numPr>
      </w:pPr>
      <w:r>
        <w:t xml:space="preserve">A.</w:t>
      </w:r>
      <w:r>
        <w:tab/>
      </w:r>
      <w:r>
        <w:t xml:space="preserve">Building Front Yard Setback. Buildings shall be sited within the front setback zone established by the minimum and maximum front setbacks established in (1) and (2) below, and should generally match the precedent established by neighboring buildings that are similarly sited to front the abutting street.</w:t>
      </w:r>
    </w:p>
    <w:p>
      <w:pPr>
        <w:pStyle w:val="ListParagraph"/>
        <w:numPr>
          <w:ilvl w:val="1"/>
          <w:numId w:val="1"/>
        </w:numPr>
      </w:pPr>
      <w:r>
        <w:t xml:space="preserve">1.</w:t>
      </w:r>
      <w:r>
        <w:tab/>
      </w:r>
      <w:r>
        <w:t xml:space="preserve">Minimum front-yard setbacks are as follows:</w:t>
      </w:r>
    </w:p>
    <w:p>
      <w:pPr>
        <w:pStyle w:val="ListParagraph"/>
        <w:numPr>
          <w:ilvl w:val="2"/>
          <w:numId w:val="1"/>
        </w:numPr>
      </w:pPr>
      <w:r>
        <w:t xml:space="preserve">a)</w:t>
      </w:r>
      <w:r>
        <w:tab/>
      </w:r>
      <w:r>
        <w:t xml:space="preserve">Uses with ground-floor residences 5 feet</w:t>
      </w:r>
    </w:p>
    <w:p>
      <w:pPr>
        <w:pStyle w:val="ListParagraph"/>
        <w:numPr>
          <w:ilvl w:val="2"/>
          <w:numId w:val="1"/>
        </w:numPr>
      </w:pPr>
      <w:r>
        <w:t xml:space="preserve">b)</w:t>
      </w:r>
      <w:r>
        <w:tab/>
      </w:r>
      <w:r>
        <w:t xml:space="preserve">Buildings where adjacent sidewalk is 5 feet less than eight (8) feet in width.</w:t>
      </w:r>
    </w:p>
    <w:p>
      <w:pPr>
        <w:pStyle w:val="ListParagraph"/>
        <w:numPr>
          <w:ilvl w:val="2"/>
          <w:numId w:val="1"/>
        </w:numPr>
      </w:pPr>
      <w:r>
        <w:t xml:space="preserve">c)</w:t>
      </w:r>
      <w:r>
        <w:tab/>
      </w:r>
      <w:r>
        <w:t xml:space="preserve">Other Uses No minimum</w:t>
      </w:r>
    </w:p>
    <w:p>
      <w:pPr>
        <w:pStyle w:val="ListParagraph"/>
        <w:numPr>
          <w:ilvl w:val="1"/>
          <w:numId w:val="1"/>
        </w:numPr>
      </w:pPr>
      <w:r>
        <w:t xml:space="preserve">2.</w:t>
      </w:r>
      <w:r>
        <w:tab/>
      </w:r>
      <w:r>
        <w:t xml:space="preserve">Maximum front-yard setbacks are as follows:</w:t>
      </w:r>
    </w:p>
    <w:p>
      <w:pPr>
        <w:pStyle w:val="ListParagraph"/>
        <w:numPr>
          <w:ilvl w:val="2"/>
          <w:numId w:val="1"/>
        </w:numPr>
      </w:pPr>
      <w:r>
        <w:t xml:space="preserve">a)</w:t>
      </w:r>
      <w:r>
        <w:tab/>
      </w:r>
      <w:r>
        <w:t xml:space="preserve">Uses with ground-floor residences 15 feet</w:t>
      </w:r>
    </w:p>
    <w:p>
      <w:pPr>
        <w:pStyle w:val="ListParagraph"/>
        <w:numPr>
          <w:ilvl w:val="2"/>
          <w:numId w:val="1"/>
        </w:numPr>
      </w:pPr>
      <w:r>
        <w:t xml:space="preserve">b)</w:t>
      </w:r>
      <w:r>
        <w:tab/>
      </w:r>
      <w:r>
        <w:t xml:space="preserve">Buildings over 50 feet in height 15 feet</w:t>
      </w:r>
    </w:p>
    <w:p>
      <w:pPr>
        <w:pStyle w:val="ListParagraph"/>
        <w:numPr>
          <w:ilvl w:val="2"/>
          <w:numId w:val="1"/>
        </w:numPr>
      </w:pPr>
      <w:r>
        <w:t xml:space="preserve">c)</w:t>
      </w:r>
      <w:r>
        <w:tab/>
      </w:r>
      <w:r>
        <w:t xml:space="preserve">All Other Uses 10 feet</w:t>
      </w:r>
    </w:p>
    <w:p>
      <w:pPr>
        <w:pStyle w:val="ListParagraph"/>
        <w:numPr>
          <w:ilvl w:val="1"/>
          <w:numId w:val="1"/>
        </w:numPr>
      </w:pPr>
      <w:r>
        <w:t xml:space="preserve">3.</w:t>
      </w:r>
      <w:r>
        <w:tab/>
      </w:r>
      <w:r>
        <w:t xml:space="preserve">The foregoing maximum setbacks shall not apply to accessory structures, extensions or expansions of existing structures of less than 30 percent increase in gross square footage, or construction of multi-building sites provided that the largest building or a major grouping of buildings complies with the foregoing setback regulations.</w:t>
      </w:r>
    </w:p>
    <w:p>
      <w:pPr>
        <w:pStyle w:val="ListParagraph"/>
        <w:numPr>
          <w:ilvl w:val="1"/>
          <w:numId w:val="1"/>
        </w:numPr>
      </w:pPr>
      <w:r>
        <w:t xml:space="preserve">4.</w:t>
      </w:r>
      <w:r>
        <w:tab/>
      </w:r>
      <w:r>
        <w:t xml:space="preserve">Portions of the front façade may be recessed or articulated to add visual interest or create public plazas and landscaped areas.</w:t>
      </w:r>
    </w:p>
    <w:p>
      <w:pPr>
        <w:pStyle w:val="ListParagraph"/>
        <w:numPr>
          <w:ilvl w:val="1"/>
          <w:numId w:val="1"/>
        </w:numPr>
      </w:pPr>
      <w:r>
        <w:t xml:space="preserve">5.</w:t>
      </w:r>
      <w:r>
        <w:tab/>
      </w:r>
      <w:r>
        <w:t xml:space="preserve">Front yard setback areas, if any, shall consist of decoratively landscaped planting areas provided in accordance with Article V, Section-5(C), and/or plazas, pedestrian walkways, lateral extensions (widening) of abutting sidewalks, bike parking, outdoor dining, benches, recreation areas, fountains or similar features. Planting areas shall consist of live landscaping maintained in healthy condition and free of litter. Parking lots, vehicle loading areas, or any other areas designed or intended for vehicular travel, parking or loading shall not be provided in the front yard setback.</w:t>
      </w:r>
    </w:p>
    <w:p>
      <w:pPr>
        <w:pStyle w:val="ListParagraph"/>
        <w:numPr>
          <w:ilvl w:val="1"/>
          <w:numId w:val="1"/>
        </w:numPr>
      </w:pPr>
      <w:r>
        <w:t xml:space="preserve">6.</w:t>
      </w:r>
      <w:r>
        <w:tab/>
      </w:r>
      <w:r>
        <w:t xml:space="preserve">The Planning Board shall be authorized to grant a special permit to allow a greater front setback within the Commercial Corridor Overlay District, upon the following findings:</w:t>
      </w:r>
    </w:p>
    <w:p>
      <w:pPr>
        <w:pStyle w:val="ListParagraph"/>
        <w:numPr>
          <w:ilvl w:val="2"/>
          <w:numId w:val="1"/>
        </w:numPr>
      </w:pPr>
      <w:r>
        <w:t xml:space="preserve">a)</w:t>
      </w:r>
      <w:r>
        <w:tab/>
      </w:r>
      <w:r>
        <w:t xml:space="preserve">The proposed project has unique architectural or functional aspects that warrant greater setback.</w:t>
      </w:r>
    </w:p>
    <w:p>
      <w:pPr>
        <w:pStyle w:val="ListParagraph"/>
        <w:numPr>
          <w:ilvl w:val="2"/>
          <w:numId w:val="1"/>
        </w:numPr>
      </w:pPr>
      <w:r>
        <w:t xml:space="preserve">b)</w:t>
      </w:r>
      <w:r>
        <w:tab/>
      </w:r>
      <w:r>
        <w:t xml:space="preserve">The proposed setback will not detract from the pedestrian environment or character of the neighborhood.</w:t>
      </w:r>
    </w:p>
    <w:p>
      <w:pPr>
        <w:pStyle w:val="ListParagraph"/>
        <w:numPr>
          <w:ilvl w:val="2"/>
          <w:numId w:val="1"/>
        </w:numPr>
      </w:pPr>
      <w:r>
        <w:t xml:space="preserve">c)</w:t>
      </w:r>
      <w:r>
        <w:tab/>
      </w:r>
      <w:r>
        <w:t xml:space="preserve">The front yard setback will be used for appropriate landscaping, pedestrian facilities or open spaces, and not for parking, loading or storage.</w:t>
      </w:r>
    </w:p>
    <w:p>
      <w:pPr>
        <w:pStyle w:val="ListParagraph"/>
        <w:numPr>
          <w:ilvl w:val="0"/>
          <w:numId w:val="1"/>
        </w:numPr>
      </w:pPr>
      <w:r>
        <w:t xml:space="preserve">B.</w:t>
      </w:r>
      <w:r>
        <w:tab/>
      </w:r>
      <w:r>
        <w:t xml:space="preserve">Building Orientation and Active Façade.</w:t>
      </w:r>
    </w:p>
    <w:p>
      <w:pPr>
        <w:pStyle w:val="ListParagraph"/>
        <w:numPr>
          <w:ilvl w:val="1"/>
          <w:numId w:val="1"/>
        </w:numPr>
      </w:pPr>
      <w:r>
        <w:t xml:space="preserve">1.</w:t>
      </w:r>
      <w:r>
        <w:tab/>
      </w:r>
      <w:r>
        <w:t xml:space="preserve">Buildings shall generally be sited to face abutting streets and sidewalks, rather than located on the interior of a lot, with entrances located to provide convenient access from the sidewalk network.</w:t>
      </w:r>
    </w:p>
    <w:p>
      <w:pPr>
        <w:pStyle w:val="ListParagraph"/>
        <w:numPr>
          <w:ilvl w:val="1"/>
          <w:numId w:val="1"/>
        </w:numPr>
      </w:pPr>
      <w:r>
        <w:t xml:space="preserve">2.</w:t>
      </w:r>
      <w:r>
        <w:tab/>
      </w:r>
      <w:r>
        <w:t xml:space="preserve">An accessible, primary pedestrian entrance to the building shall face an abutting street. For interior buildings on multi-building sites, entrances should connect to a pedestrian way that provides convenient access to the abutting street and sidewalk network.</w:t>
      </w:r>
    </w:p>
    <w:p>
      <w:pPr>
        <w:pStyle w:val="ListParagraph"/>
        <w:numPr>
          <w:ilvl w:val="1"/>
          <w:numId w:val="1"/>
        </w:numPr>
      </w:pPr>
      <w:r>
        <w:t xml:space="preserve">3.</w:t>
      </w:r>
      <w:r>
        <w:tab/>
      </w:r>
      <w:r>
        <w:t xml:space="preserve">Building walls facing the street should present an active façade incorporating windows, doors, columns, changes in materials, modulation of the façade, and similar details to add visual interest.</w:t>
      </w:r>
    </w:p>
    <w:p>
      <w:pPr>
        <w:pStyle w:val="ListParagraph"/>
        <w:numPr>
          <w:ilvl w:val="1"/>
          <w:numId w:val="1"/>
        </w:numPr>
      </w:pPr>
      <w:r>
        <w:t xml:space="preserve">4.</w:t>
      </w:r>
      <w:r>
        <w:tab/>
      </w:r>
      <w:r>
        <w:t xml:space="preserve">Accessory surface parking shall be located to the rear or interior of parcels. Parking may also be located to the side of the parcel when necessary, provided that it is screened from abutting streets and sidewalks by buildings and landscaping provided in accordance with section (F) below and, as applicable, Article V, Section-5(C).</w:t>
      </w:r>
    </w:p>
    <w:p>
      <w:pPr>
        <w:pStyle w:val="ListParagraph"/>
        <w:numPr>
          <w:ilvl w:val="1"/>
          <w:numId w:val="1"/>
        </w:numPr>
      </w:pPr>
      <w:r>
        <w:t xml:space="preserve">5.</w:t>
      </w:r>
      <w:r>
        <w:tab/>
      </w:r>
      <w:r>
        <w:t xml:space="preserve">Any portion of an above-ground parking structure fronting a public way shall include façade details and landscaping to maintain an attractive streetscape. Accessory above- ground parking structures shall be located primarily behind or above the primary use.</w:t>
      </w:r>
    </w:p>
    <w:p>
      <w:pPr>
        <w:pStyle w:val="ListParagraph"/>
        <w:numPr>
          <w:ilvl w:val="2"/>
          <w:numId w:val="1"/>
        </w:numPr>
      </w:pPr>
      <w:r>
        <w:t xml:space="preserve">a)</w:t>
      </w:r>
      <w:r>
        <w:tab/>
      </w:r>
      <w:r>
        <w:t xml:space="preserve">Street fronting space dedicated to retail, commercial or other uses open to the public are encouraged on the ground floor of non-accessory parking structures.</w:t>
      </w:r>
    </w:p>
    <w:p>
      <w:pPr>
        <w:pStyle w:val="ListParagraph"/>
        <w:numPr>
          <w:ilvl w:val="0"/>
          <w:numId w:val="1"/>
        </w:numPr>
      </w:pPr>
      <w:r>
        <w:t xml:space="preserve">C.</w:t>
      </w:r>
      <w:r>
        <w:tab/>
      </w:r>
      <w:r>
        <w:t xml:space="preserve">Floor to Area Ratio (FAR).</w:t>
      </w:r>
    </w:p>
    <w:p>
      <w:pPr>
        <w:pStyle w:val="ListParagraph"/>
        <w:numPr>
          <w:ilvl w:val="1"/>
          <w:numId w:val="1"/>
        </w:numPr>
      </w:pPr>
      <w:r>
        <w:t xml:space="preserve">1.</w:t>
      </w:r>
      <w:r>
        <w:tab/>
      </w:r>
      <w:r>
        <w:t xml:space="preserve">FAR restrictions shall not apply to Mixed-Use Developments under this Article provided at least one of the uses is residential and a non-residential use is located on the ground floor and includes an active façade. Provided, however, a Mixed-Use Development remains subject to the maximum height calculation set forth below in Section-6(E).</w:t>
      </w:r>
    </w:p>
    <w:p>
      <w:pPr>
        <w:pStyle w:val="ListParagraph"/>
        <w:numPr>
          <w:ilvl w:val="1"/>
          <w:numId w:val="1"/>
        </w:numPr>
      </w:pPr>
      <w:r>
        <w:t xml:space="preserve">2.</w:t>
      </w:r>
      <w:r>
        <w:tab/>
      </w:r>
      <w:r>
        <w:t xml:space="preserve">The maximum FAR shall be increased to 2.0 throughout the CCOD, or higher where allowed by the underlying zoning district.</w:t>
      </w:r>
    </w:p>
    <w:p>
      <w:pPr>
        <w:pStyle w:val="ListParagraph"/>
        <w:numPr>
          <w:ilvl w:val="0"/>
          <w:numId w:val="1"/>
        </w:numPr>
      </w:pPr>
      <w:r>
        <w:t xml:space="preserve">D.</w:t>
      </w:r>
      <w:r>
        <w:tab/>
      </w:r>
      <w:r>
        <w:t xml:space="preserve">Frontage and Lot Area. There shall be no minimum lot area requirement for multifamily residential uses permitted whether by right or special permit in the underlying zones. The minimum frontage for such uses shall be forty (40) feet, except when the underlying zone is BG-6 where no minimum frontage is required for permitted multifamily residential uses.</w:t>
      </w:r>
    </w:p>
    <w:p>
      <w:pPr>
        <w:pStyle w:val="ListParagraph"/>
        <w:numPr>
          <w:ilvl w:val="0"/>
          <w:numId w:val="1"/>
        </w:numPr>
      </w:pPr>
      <w:r>
        <w:t xml:space="preserve">E.</w:t>
      </w:r>
      <w:r>
        <w:tab/>
      </w:r>
      <w:r>
        <w:t xml:space="preserve">Height.</w:t>
      </w:r>
    </w:p>
    <w:p>
      <w:pPr>
        <w:pStyle w:val="ListParagraph"/>
        <w:numPr>
          <w:ilvl w:val="1"/>
          <w:numId w:val="1"/>
        </w:numPr>
      </w:pPr>
      <w:r>
        <w:t xml:space="preserve">1.</w:t>
      </w:r>
      <w:r>
        <w:tab/>
      </w:r>
      <w:r>
        <w:t xml:space="preserve">Maximum height for buildings shall be 50 feet, except where greater height is allowed by underlying zoning. The maximum number of floors shall be 3+ or greater as allowed by the underlying zoning.</w:t>
      </w:r>
    </w:p>
    <w:p>
      <w:pPr>
        <w:pStyle w:val="ListParagraph"/>
        <w:numPr>
          <w:ilvl w:val="1"/>
          <w:numId w:val="1"/>
        </w:numPr>
      </w:pPr>
      <w:r>
        <w:t xml:space="preserve">2.</w:t>
      </w:r>
      <w:r>
        <w:tab/>
      </w:r>
      <w:r>
        <w:t xml:space="preserve">Buildings taller than one hundred (100) feet shall make use of design treatments such as articulations in the façade and stepped back upper floors to avoid excessive shadowing of streets or public spaces below.</w:t>
      </w:r>
    </w:p>
    <w:p>
      <w:pPr>
        <w:pStyle w:val="ListParagraph"/>
        <w:numPr>
          <w:ilvl w:val="0"/>
          <w:numId w:val="1"/>
        </w:numPr>
      </w:pPr>
      <w:r>
        <w:t xml:space="preserve">F.</w:t>
      </w:r>
      <w:r>
        <w:tab/>
      </w:r>
      <w:r>
        <w:t xml:space="preserve">Landscaped Parking Buffers. Landscaping buffers for parking areas shall be a minimum of three (3) feet in width with minimum five (5) feet by five (5) feet tree planting areas for required tree plantings. Landscaping buffers for parking areas bordering the front yard setback, drive-through lanes or drive-through escape lanes shall be a minimum of five (5) feet in width.</w:t>
      </w:r>
    </w:p>
    <w:p>
      <w:pPr>
        <w:pStyle w:val="ListParagraph"/>
        <w:numPr>
          <w:ilvl w:val="0"/>
          <w:numId w:val="1"/>
        </w:numPr>
      </w:pPr>
      <w:r>
        <w:t xml:space="preserve">G.</w:t>
      </w:r>
      <w:r>
        <w:tab/>
      </w:r>
      <w:r>
        <w:t xml:space="preserve">Extension, Alteration or Change of Nonconforming Structure. Notwithstanding the provisions of Article XVI, Section-4(D) to the contrary, within a Commercial Corridors Overlay District, a privileged nonconforming structure may be altered without a special permit from the Zoning Board of Appeals under any of the following circumstances:</w:t>
      </w:r>
    </w:p>
    <w:p>
      <w:pPr>
        <w:pStyle w:val="ListParagraph"/>
        <w:numPr>
          <w:ilvl w:val="1"/>
          <w:numId w:val="1"/>
        </w:numPr>
      </w:pPr>
      <w:r>
        <w:t xml:space="preserve">1.</w:t>
      </w:r>
      <w:r>
        <w:tab/>
      </w:r>
      <w:r>
        <w:t xml:space="preserve">There is no extension or expansion of the exterior of the structure.</w:t>
      </w:r>
    </w:p>
    <w:p>
      <w:pPr>
        <w:pStyle w:val="ListParagraph"/>
        <w:numPr>
          <w:ilvl w:val="1"/>
          <w:numId w:val="1"/>
        </w:numPr>
      </w:pPr>
      <w:r>
        <w:t xml:space="preserve">2.</w:t>
      </w:r>
      <w:r>
        <w:tab/>
      </w:r>
      <w:r>
        <w:t xml:space="preserve">The extension or expansion is made for the purpose of conforming to the building code for health and safety purposes.</w:t>
      </w:r>
    </w:p>
    <w:p>
      <w:pPr>
        <w:pStyle w:val="ListParagraph"/>
        <w:numPr>
          <w:ilvl w:val="1"/>
          <w:numId w:val="1"/>
        </w:numPr>
      </w:pPr>
      <w:r>
        <w:t xml:space="preserve">3.</w:t>
      </w:r>
      <w:r>
        <w:tab/>
      </w:r>
      <w:r>
        <w:t xml:space="preserve">The extension or expansion conforms to the dimensional requirements of this Ordinance.</w:t>
      </w:r>
    </w:p>
    <w:p>
      <w:pPr>
        <w:pStyle w:val="Heading3"/>
      </w:pPr>
      <w:r>
        <w:t xml:space="preserve">§ 7. Off-Street Accessory Parking &amp; Loading Requirements</w:t>
      </w:r>
    </w:p>
    <w:p>
      <w:r>
        <w:t xml:space="preserve">Except as modified by this Article IX, Section-7, the provisions of Article IV, Section-7 shall apply to any new or additional off-street parking and loading facilities provided and to any physical modification, excluding restriping work, of existing off-street accessory parking and loading facilities.</w:t>
      </w:r>
    </w:p>
    <w:p>
      <w:pPr>
        <w:pStyle w:val="ListParagraph"/>
        <w:numPr>
          <w:ilvl w:val="0"/>
          <w:numId w:val="1"/>
        </w:numPr>
      </w:pPr>
      <w:r>
        <w:t xml:space="preserve">A.</w:t>
      </w:r>
      <w:r>
        <w:tab/>
      </w:r>
      <w:r>
        <w:t xml:space="preserve">Parking Subareas</w:t>
      </w:r>
    </w:p>
    <w:p>
      <w:pPr>
        <w:pStyle w:val="ListParagraph"/>
        <w:numPr>
          <w:ilvl w:val="1"/>
          <w:numId w:val="1"/>
        </w:numPr>
      </w:pPr>
      <w:r>
        <w:t xml:space="preserve">1.</w:t>
      </w:r>
      <w:r>
        <w:tab/>
      </w:r>
      <w:r>
        <w:t xml:space="preserve">For the purposes of this Article IX, Section-7, the following Parking Subareas are hereby created:</w:t>
      </w:r>
    </w:p>
    <w:p>
      <w:pPr>
        <w:pStyle w:val="ListParagraph"/>
        <w:numPr>
          <w:ilvl w:val="2"/>
          <w:numId w:val="1"/>
        </w:numPr>
      </w:pPr>
      <w:r>
        <w:t xml:space="preserve">a)</w:t>
      </w:r>
      <w:r>
        <w:tab/>
      </w:r>
      <w:r>
        <w:t xml:space="preserve">Downtown Subarea: Those portions of the Commercial Corridors Overlay District zoned BG-6.0.</w:t>
      </w:r>
    </w:p>
    <w:p>
      <w:pPr>
        <w:pStyle w:val="ListParagraph"/>
        <w:numPr>
          <w:ilvl w:val="2"/>
          <w:numId w:val="1"/>
        </w:numPr>
      </w:pPr>
      <w:r>
        <w:t xml:space="preserve">b)</w:t>
      </w:r>
      <w:r>
        <w:tab/>
      </w:r>
      <w:r>
        <w:t xml:space="preserve">Shrewsbury Street Subarea: Those portions of the Commercial Corridors Overlay District located north of Franklin Street, east of Interstate-290, south of Belmont Street, and west of Daniels Street, excluding any areas zoned BG-6.0.</w:t>
      </w:r>
    </w:p>
    <w:p>
      <w:pPr>
        <w:pStyle w:val="ListParagraph"/>
        <w:numPr>
          <w:ilvl w:val="2"/>
          <w:numId w:val="1"/>
        </w:numPr>
      </w:pPr>
      <w:r>
        <w:t xml:space="preserve">c)</w:t>
      </w:r>
      <w:r>
        <w:tab/>
      </w:r>
      <w:r>
        <w:t xml:space="preserve">Canal District Subarea: Those portions of the Commercial Corridors Overlay District located south of Franklin Street, south of Frances J. McGrath Blvd, east of Southbridge Street, north of Quinsigamond Avenue and west of Interstate-290, excluding any areas zoned BG-6.0.</w:t>
      </w:r>
    </w:p>
    <w:p>
      <w:pPr>
        <w:pStyle w:val="ListParagraph"/>
        <w:numPr>
          <w:ilvl w:val="1"/>
          <w:numId w:val="1"/>
        </w:numPr>
      </w:pPr>
      <w:r>
        <w:t xml:space="preserve">2.</w:t>
      </w:r>
      <w:r>
        <w:tab/>
      </w:r>
      <w:r>
        <w:t xml:space="preserve">The provisions of this Article IX, Section-7 apply throughout the Commercial Corridors Overlay District except when specifically stated otherwise for the above subareas.</w:t>
      </w:r>
    </w:p>
    <w:p>
      <w:pPr>
        <w:pStyle w:val="ListParagraph"/>
        <w:numPr>
          <w:ilvl w:val="0"/>
          <w:numId w:val="1"/>
        </w:numPr>
      </w:pPr>
      <w:r>
        <w:t xml:space="preserve">B.</w:t>
      </w:r>
      <w:r>
        <w:tab/>
      </w:r>
      <w:r>
        <w:t xml:space="preserve">Minimum and Maximum Off-Street Accessory Parking Requirements In computing minimum or maximum spaces, any fraction thereto shall be considered a full parking space.</w:t>
      </w:r>
    </w:p>
    <w:p>
      <w:pPr>
        <w:pStyle w:val="ListParagraph"/>
        <w:numPr>
          <w:ilvl w:val="1"/>
          <w:numId w:val="1"/>
        </w:numPr>
      </w:pPr>
      <w:r>
        <w:t xml:space="preserve">1.</w:t>
      </w:r>
      <w:r>
        <w:tab/>
      </w:r>
      <w:r>
        <w:t xml:space="preserve">Minimum Accessory Parking Requirements. The minimum number of accessory off- street parking spaces is to be provided in accordance with the units of measurement shown in Table 9.1 within the Commercial Corridors Overlay District, subject to modification and adjustment as otherwise provided by the provisions of this Article IX, Section-7.</w:t>
      </w:r>
    </w:p>
    <w:p>
      <w:pPr>
        <w:pStyle w:val="ListParagraph"/>
        <w:numPr>
          <w:ilvl w:val="2"/>
          <w:numId w:val="1"/>
        </w:numPr>
      </w:pPr>
      <w:r>
        <w:t xml:space="preserve">a)</w:t>
      </w:r>
      <w:r>
        <w:tab/>
      </w:r>
      <w:r>
        <w:t xml:space="preserve">Waiver of Minimum Parking for Small Parking Lots. After any applicable exceptions, adjustments and/or other relief granted by special permit, if the total parking requirements for all uses on a site shall require five (5) or fewer parking spaces, minimum off-street parking requirements shall be waived completely to prevent the creation of a small new parking lot. This provision shall not apply to parking required for residential uses, nor if a parking lot already exists on the site.</w:t>
      </w:r>
    </w:p>
    <w:p>
      <w:pPr>
        <w:pStyle w:val="ListParagraph"/>
        <w:numPr>
          <w:ilvl w:val="1"/>
          <w:numId w:val="1"/>
        </w:numPr>
      </w:pPr>
      <w:r>
        <w:t xml:space="preserve">2.</w:t>
      </w:r>
      <w:r>
        <w:tab/>
      </w:r>
      <w:r>
        <w:t xml:space="preserve">Limitations on Parking Provided. Within the Commercial Corridors Overlay District, all additional or new parking provided shall not exceed, when aggregated with existing parking on site, the maximum limitations shown in Table 9.1. Table 9.1 Minimum and Maximum Base Parking Requirements in CCOD Maximum Parking</w:t>
      </w:r>
    </w:p>
    <w:p>
      <w:pPr>
        <w:ind w:left="1075"/>
      </w:pPr>
      <w:r>
        <w:t xml:space="preserve">Uses Minimum Parking Requirements Limits CCOD – Shrewsbury CCOD – Canal CCOD – Elsewhere Street subarea District subarea Residential Uses 1 resident space per dwelling unit (Studio, 1 BR units) 1 resident space per dwelling unit Single, two or three 2 per dwelling unit (total, family; Multi-family 1.5 resident spaces including resident and dwelling; Loft, Creative per dwelling unit guest parking) Entrepreneur (2+ BR units) 1 guest (unreserved) parking space per 10 units for dwellings with 10 or more units. All other allowed 125% of requirements in 75% of requirements in parking Table 4.4 residential parking Table 4.4 General Uses All allowed general 125% of requirements in 75% of requirements in parking Table 4.4 uses parking Table 4.4 Business Uses Office, Professional/General; Retail Sales; Service 1 per 500 SF 1 per 250 SF (personal, animal, other) Food Service/Lounge 1 per 4 rated occupancy. 1 per 2 rated occupancy. /Nightclub All other allowed 125% of requirements in 75% of requirements in parking Table 4.4 business uses parking Table 4.4 Manufacturing Uses All allowed 125% of requirements in 75% of requirements in parking Table 4.4 manufacturing uses parking Table 4.4 Notes to Table 9.1 Note 1. Downtown subarea No minimum parking or loading spaces are required in the Downtown subarea. Note 2. Guest parking Residential parking requirements for guest parking spaces may not be reserved for resident use or included as part of any rental or sales agreement. Any special permit relief or administrative adjustment to the minimum parking requirements for residential uses shall apply only to required resident parking, and not to guest parking. Note 3. Changes in Use or Reuse of Existing Buildings Requirements for changes in use or reuse of existing buildings are further modified by Section-7(B)(3) below.</w:t>
      </w:r>
    </w:p>
    <w:p>
      <w:pPr>
        <w:pStyle w:val="ListParagraph"/>
        <w:numPr>
          <w:ilvl w:val="1"/>
          <w:numId w:val="1"/>
        </w:numPr>
      </w:pPr>
      <w:r>
        <w:t xml:space="preserve">3.</w:t>
      </w:r>
      <w:r>
        <w:tab/>
      </w:r>
      <w:r>
        <w:t xml:space="preserve">Minimum Parking for Reuse of Existing Buildings The following provisions apply to rehabilitation, change in use or alterations of buildings in existence as of the establishment of this Ordinance.</w:t>
      </w:r>
    </w:p>
    <w:p>
      <w:pPr>
        <w:pStyle w:val="ListParagraph"/>
        <w:numPr>
          <w:ilvl w:val="2"/>
          <w:numId w:val="1"/>
        </w:numPr>
      </w:pPr>
      <w:r>
        <w:t xml:space="preserve">a)</w:t>
      </w:r>
      <w:r>
        <w:tab/>
      </w:r>
      <w:r>
        <w:t xml:space="preserve">Alteration of Existing Buildings without a Change in Use. An alteration or expansion of an existing use shall require additional parking only for the expanded areas, provided that no change of use occurs. Existing parking shall remain or be replaced in kind.</w:t>
      </w:r>
    </w:p>
    <w:p>
      <w:pPr>
        <w:pStyle w:val="ListParagraph"/>
        <w:numPr>
          <w:ilvl w:val="2"/>
          <w:numId w:val="1"/>
        </w:numPr>
      </w:pPr>
      <w:r>
        <w:t xml:space="preserve">b)</w:t>
      </w:r>
      <w:r>
        <w:tab/>
      </w:r>
      <w:r>
        <w:t xml:space="preserve">Conversion to Residential Uses. Existing non-residential uses converted to residential use, or the expansion of residential uses within an existing structure, shall meet the minimum parking requirements of Table 9.1 and related provisions of this</w:t>
      </w:r>
    </w:p>
    <w:p>
      <w:pPr>
        <w:pStyle w:val="Heading2"/>
      </w:pPr>
      <w:r>
        <w:t xml:space="preserve">Article X. Continuing Care Retirement Community</w:t>
      </w:r>
    </w:p>
    <w:p>
      <w:pPr>
        <w:pStyle w:val="Heading3"/>
      </w:pPr>
      <w:r>
        <w:t xml:space="preserve">§ 5. Other Objectives</w:t>
      </w:r>
    </w:p>
    <w:p/>
    <w:p>
      <w:pPr>
        <w:pStyle w:val="Heading3"/>
      </w:pPr>
      <w:r>
        <w:t xml:space="preserve">§ 1. Intent and Applicability</w:t>
      </w:r>
    </w:p>
    <w:p>
      <w:r>
        <w:t xml:space="preserve">The intent of this section is to allow flexibility in development of parcels for housing and related services of retired and aging persons, with particular interest in meeting the needs of residents of Worcester. A Continuing Care Retirement Community (CCRC), as defined herein, may be allowed upon grant of a special permit by the Planning Board. Said CCRC shall include a constellation of services on site for those retired and aging persons residing in the CCRC. Facilities without services shall not be considered to meet the intent of this article.</w:t>
      </w:r>
    </w:p>
    <w:p>
      <w:pPr>
        <w:pStyle w:val="Heading3"/>
      </w:pPr>
      <w:r>
        <w:t xml:space="preserve">§ 2. Definitions</w:t>
      </w:r>
    </w:p>
    <w:p>
      <w:pPr>
        <w:pStyle w:val="ListParagraph"/>
        <w:numPr>
          <w:ilvl w:val="0"/>
          <w:numId w:val="1"/>
        </w:numPr>
      </w:pPr>
      <w:r>
        <w:t xml:space="preserve">A.</w:t>
      </w:r>
      <w:r>
        <w:tab/>
      </w:r>
      <w:r>
        <w:t xml:space="preserve">As used in this Ordinance, Continuing Care Retirement Community (CCRC) shall mean a development on a parcel of land five (5) acres or greater, comprised of a dwelling or dwellings with a minimum of three (3) residential services operated or sponsored as a coordinated unit, by a corporation or organization having among its principal purposes, the provision of housing and associated services for retired and aging persons with occupancy of dwelling units limited to persons, at least one of whom shall have attained the age of fifty-five (55) years. Coordinated unit means a building or group of buildings under common management and serving purposes which assist retired and aging persons in maintaining an independent lifestyle. The program of resident services may include, but is not limited to:</w:t>
      </w:r>
    </w:p>
    <w:p>
      <w:pPr>
        <w:pStyle w:val="ListParagraph"/>
        <w:numPr>
          <w:ilvl w:val="1"/>
          <w:numId w:val="1"/>
        </w:numPr>
      </w:pPr>
      <w:r>
        <w:t xml:space="preserve">1.</w:t>
      </w:r>
      <w:r>
        <w:tab/>
      </w:r>
      <w:r>
        <w:t xml:space="preserve">Restorative care center/skilled nursing facility</w:t>
      </w:r>
    </w:p>
    <w:p>
      <w:pPr>
        <w:pStyle w:val="ListParagraph"/>
        <w:numPr>
          <w:ilvl w:val="1"/>
          <w:numId w:val="1"/>
        </w:numPr>
      </w:pPr>
      <w:r>
        <w:t xml:space="preserve">2.</w:t>
      </w:r>
      <w:r>
        <w:tab/>
      </w:r>
      <w:r>
        <w:t xml:space="preserve">Transportation</w:t>
      </w:r>
    </w:p>
    <w:p>
      <w:pPr>
        <w:pStyle w:val="ListParagraph"/>
        <w:numPr>
          <w:ilvl w:val="1"/>
          <w:numId w:val="1"/>
        </w:numPr>
      </w:pPr>
      <w:r>
        <w:t xml:space="preserve">3.</w:t>
      </w:r>
      <w:r>
        <w:tab/>
      </w:r>
      <w:r>
        <w:t xml:space="preserve">Financial</w:t>
      </w:r>
    </w:p>
    <w:p>
      <w:pPr>
        <w:pStyle w:val="ListParagraph"/>
        <w:numPr>
          <w:ilvl w:val="1"/>
          <w:numId w:val="1"/>
        </w:numPr>
      </w:pPr>
      <w:r>
        <w:t xml:space="preserve">4.</w:t>
      </w:r>
      <w:r>
        <w:tab/>
      </w:r>
      <w:r>
        <w:t xml:space="preserve">Barber/beautician</w:t>
      </w:r>
    </w:p>
    <w:p>
      <w:pPr>
        <w:pStyle w:val="ListParagraph"/>
        <w:numPr>
          <w:ilvl w:val="1"/>
          <w:numId w:val="1"/>
        </w:numPr>
      </w:pPr>
      <w:r>
        <w:t xml:space="preserve">5.</w:t>
      </w:r>
      <w:r>
        <w:tab/>
      </w:r>
      <w:r>
        <w:t xml:space="preserve">Medical evaluation/health care maintenance</w:t>
      </w:r>
    </w:p>
    <w:p>
      <w:pPr>
        <w:pStyle w:val="ListParagraph"/>
        <w:numPr>
          <w:ilvl w:val="1"/>
          <w:numId w:val="1"/>
        </w:numPr>
      </w:pPr>
      <w:r>
        <w:t xml:space="preserve">6.</w:t>
      </w:r>
      <w:r>
        <w:tab/>
      </w:r>
      <w:r>
        <w:t xml:space="preserve">Home health</w:t>
      </w:r>
    </w:p>
    <w:p>
      <w:pPr>
        <w:pStyle w:val="ListParagraph"/>
        <w:numPr>
          <w:ilvl w:val="1"/>
          <w:numId w:val="1"/>
        </w:numPr>
      </w:pPr>
      <w:r>
        <w:t xml:space="preserve">7.</w:t>
      </w:r>
      <w:r>
        <w:tab/>
      </w:r>
      <w:r>
        <w:t xml:space="preserve">Assisted care</w:t>
      </w:r>
    </w:p>
    <w:p>
      <w:pPr>
        <w:pStyle w:val="ListParagraph"/>
        <w:numPr>
          <w:ilvl w:val="1"/>
          <w:numId w:val="1"/>
        </w:numPr>
      </w:pPr>
      <w:r>
        <w:t xml:space="preserve">8.</w:t>
      </w:r>
      <w:r>
        <w:tab/>
      </w:r>
      <w:r>
        <w:t xml:space="preserve">Adult day care and respite care services</w:t>
      </w:r>
    </w:p>
    <w:p>
      <w:pPr>
        <w:pStyle w:val="ListParagraph"/>
        <w:numPr>
          <w:ilvl w:val="1"/>
          <w:numId w:val="1"/>
        </w:numPr>
      </w:pPr>
      <w:r>
        <w:t xml:space="preserve">9.</w:t>
      </w:r>
      <w:r>
        <w:tab/>
      </w:r>
      <w:r>
        <w:t xml:space="preserve">Food services</w:t>
      </w:r>
    </w:p>
    <w:p>
      <w:pPr>
        <w:pStyle w:val="ListParagraph"/>
        <w:numPr>
          <w:ilvl w:val="1"/>
          <w:numId w:val="1"/>
        </w:numPr>
      </w:pPr>
      <w:r>
        <w:t xml:space="preserve">10.</w:t>
      </w:r>
      <w:r>
        <w:tab/>
      </w:r>
      <w:r>
        <w:t xml:space="preserve">Cleaning services</w:t>
      </w:r>
    </w:p>
    <w:p>
      <w:pPr>
        <w:pStyle w:val="ListParagraph"/>
        <w:numPr>
          <w:ilvl w:val="1"/>
          <w:numId w:val="1"/>
        </w:numPr>
      </w:pPr>
      <w:r>
        <w:t xml:space="preserve">11.</w:t>
      </w:r>
      <w:r>
        <w:tab/>
      </w:r>
      <w:r>
        <w:t xml:space="preserve">Exercise, recreational, education and social services</w:t>
      </w:r>
    </w:p>
    <w:p>
      <w:pPr>
        <w:pStyle w:val="ListParagraph"/>
        <w:numPr>
          <w:ilvl w:val="1"/>
          <w:numId w:val="1"/>
        </w:numPr>
      </w:pPr>
      <w:r>
        <w:t xml:space="preserve">12.</w:t>
      </w:r>
      <w:r>
        <w:tab/>
      </w:r>
      <w:r>
        <w:t xml:space="preserve">Other services, activities and accessory uses incidental to the operation of a Continuing Care Retirement Community. These services will be primarily for the benefit of residents of the Continuing Care Retirement Community.</w:t>
      </w:r>
    </w:p>
    <w:p>
      <w:pPr>
        <w:pStyle w:val="Heading3"/>
      </w:pPr>
      <w:r>
        <w:t xml:space="preserve">§ 3. Types of Dwellings and Facilities Permitted</w:t>
      </w:r>
    </w:p>
    <w:p>
      <w:r>
        <w:t xml:space="preserve">Notwithstanding any restriction on uses permitted in the underlying zoning district, a special permit granted by the Planning Board may allow the construction of detached or attached dwellings of any combination, and may also allow the construction of a restorative care center/skilled nursing facility/clinic, assisted living facility and buildings to accommodate resident services. There shall be provided in appropriate cases suitable means of access and egress to, from and within dwellings for handicapped persons. Enclosed walkways and/or unenclosed walkways connecting buildings shall be permitted.</w:t>
      </w:r>
    </w:p>
    <w:p>
      <w:pPr>
        <w:pStyle w:val="Heading3"/>
      </w:pPr>
      <w:r>
        <w:t xml:space="preserve">§ 4. Specific Restrictions</w:t>
      </w:r>
    </w:p>
    <w:p>
      <w:pPr>
        <w:pStyle w:val="ListParagraph"/>
        <w:numPr>
          <w:ilvl w:val="0"/>
          <w:numId w:val="1"/>
        </w:numPr>
      </w:pPr>
      <w:r>
        <w:t xml:space="preserve">A.</w:t>
      </w:r>
      <w:r>
        <w:tab/>
      </w:r>
      <w:r>
        <w:t xml:space="preserve">In lieu of a development under conventional dimensional controls as provided in Article IV, a Continuing Care Retirement Community (CCRC) as provided herein shall also be subject to the following specific restrictions.</w:t>
      </w:r>
    </w:p>
    <w:p>
      <w:pPr>
        <w:pStyle w:val="ListParagraph"/>
        <w:numPr>
          <w:ilvl w:val="1"/>
          <w:numId w:val="1"/>
        </w:numPr>
      </w:pPr>
      <w:r>
        <w:t xml:space="preserve">1.</w:t>
      </w:r>
      <w:r>
        <w:tab/>
      </w:r>
      <w:r>
        <w:t xml:space="preserve">Density and Parcel Size A CCRC shall have a parcel of five (5) acres or greater. The allowable number of dwelling units in a CCRC shall be determined, using the following formula: Maximum Units = 2 x [(Parcel Size x .8) /Minimum Lot Size Permitted In Zoning District of Parcel] (rounded to next lowest integer) An increase in the number of units of up to twenty-five (25) percent of the number of maximum units calculated by the above formula may be allowed. Such an increase will be based upon each unit so granted being affordable housing. In RG 5-0 zones the maximum density bonus shall be limited to fifteen (15%) percent to prevent overcrowding. In granting such increases the Planning Board shall require that the developer provide legally enforceable assurances that the units so granted will continue to be affordable housing, as herein defined. In addition the number of beds, exclusive of existing beds, in the restorative care center/skilled nursing facility development density shall not exceed thirty-three percent (33%) of the numbered units in the CCRC. The gross acreage of the parcel shall be used in calculating the density.</w:t>
      </w:r>
    </w:p>
    <w:p>
      <w:pPr>
        <w:pStyle w:val="ListParagraph"/>
        <w:numPr>
          <w:ilvl w:val="1"/>
          <w:numId w:val="1"/>
        </w:numPr>
      </w:pPr>
      <w:r>
        <w:t xml:space="preserve">2.</w:t>
      </w:r>
      <w:r>
        <w:tab/>
      </w:r>
      <w:r>
        <w:t xml:space="preserve">Lot Coverage and Open Space Requirements Buildings shall be sited using cluster principles. At least twenty-five (25) percent of the site shall be preserved as open space. A minimum of seventy-five (75) percent of the open space shall be maintained as a natural vegetation area except that plantings, passive recreational uses (as may be permitted and/or required by the Planning Board under the provisions of Site Plan Review, Article V), the installation, repair and maintenance of footpaths, underground utilities, access ways (if required by the City of Worcester or other governmental agency), drainage structures and facilities and such other construction as may be permitted and/or required by the Planning Board under the provisions of Article V, Site Plan Review are permitted. However, such portions of the open space as shall have been disturbed for purposes so permitted shall be restored to former conditions as nearly as may be reasonably practicable. The open space shall be protected by a recorded restriction enforceable by the City of Worcester.</w:t>
      </w:r>
    </w:p>
    <w:p>
      <w:pPr>
        <w:pStyle w:val="ListParagraph"/>
        <w:numPr>
          <w:ilvl w:val="1"/>
          <w:numId w:val="1"/>
        </w:numPr>
      </w:pPr>
      <w:r>
        <w:t xml:space="preserve">3.</w:t>
      </w:r>
      <w:r>
        <w:tab/>
      </w:r>
      <w:r>
        <w:t xml:space="preserve">Parking There shall be at least one (1) off-street parking space per dwelling unit. Any restorative care center/skilled nursing facility shall have at least point three off- street parking spaces for each bed.</w:t>
      </w:r>
    </w:p>
    <w:p>
      <w:pPr>
        <w:pStyle w:val="ListParagraph"/>
        <w:numPr>
          <w:ilvl w:val="1"/>
          <w:numId w:val="1"/>
        </w:numPr>
      </w:pPr>
      <w:r>
        <w:t xml:space="preserve">4.</w:t>
      </w:r>
      <w:r>
        <w:tab/>
      </w:r>
      <w:r>
        <w:t xml:space="preserve">Roads and Utilities Roads and utilities shall be designed and constructed in conformance with the City of Worcester Subdivision Rules and Regulations. The Planning Board may modify said rules and regulations if it determines that such action will more acceptably meet the purposes of the Article.</w:t>
      </w:r>
    </w:p>
    <w:p>
      <w:pPr>
        <w:pStyle w:val="Heading3"/>
      </w:pPr>
      <w:r>
        <w:t xml:space="preserve">§ 5. Other Objectives</w:t>
      </w:r>
    </w:p>
    <w:p>
      <w:pPr>
        <w:pStyle w:val="ListParagraph"/>
        <w:numPr>
          <w:ilvl w:val="0"/>
          <w:numId w:val="1"/>
        </w:numPr>
      </w:pPr>
      <w:r>
        <w:t xml:space="preserve">A.</w:t>
      </w:r>
      <w:r>
        <w:tab/>
      </w:r>
      <w:r>
        <w:t xml:space="preserve">The following objectives are important in the development of a Continuing Care Retirement Community (CCRC):</w:t>
      </w:r>
    </w:p>
    <w:p>
      <w:pPr>
        <w:pStyle w:val="ListParagraph"/>
        <w:numPr>
          <w:ilvl w:val="1"/>
          <w:numId w:val="1"/>
        </w:numPr>
      </w:pPr>
      <w:r>
        <w:t xml:space="preserve">1.</w:t>
      </w:r>
      <w:r>
        <w:tab/>
      </w:r>
      <w:r>
        <w:t xml:space="preserve">It is desirable to minimize municipal costs and environmental impacts through reduction, to the extent reasonable, in the length of streets, utilities and drainage systems per dwelling unit served.</w:t>
      </w:r>
    </w:p>
    <w:p>
      <w:pPr>
        <w:pStyle w:val="ListParagraph"/>
        <w:numPr>
          <w:ilvl w:val="1"/>
          <w:numId w:val="1"/>
        </w:numPr>
      </w:pPr>
      <w:r>
        <w:t xml:space="preserve">2.</w:t>
      </w:r>
      <w:r>
        <w:tab/>
      </w:r>
      <w:r>
        <w:t xml:space="preserve">It is desirable to increase the size of contiguous area assured of preservation in a natural state and the number of off-street pathways and trails, recreation areas and wilderness area open to all residents of the CCRC.</w:t>
      </w:r>
    </w:p>
    <w:p>
      <w:pPr>
        <w:pStyle w:val="ListParagraph"/>
        <w:numPr>
          <w:ilvl w:val="1"/>
          <w:numId w:val="1"/>
        </w:numPr>
      </w:pPr>
      <w:r>
        <w:t xml:space="preserve">3.</w:t>
      </w:r>
      <w:r>
        <w:tab/>
      </w:r>
      <w:r>
        <w:t xml:space="preserve">It is desirable that all existing scenic vistas be respected and preserved and that new scenic vistas be created.</w:t>
      </w:r>
    </w:p>
    <w:p>
      <w:pPr>
        <w:pStyle w:val="ListParagraph"/>
        <w:numPr>
          <w:ilvl w:val="1"/>
          <w:numId w:val="1"/>
        </w:numPr>
      </w:pPr>
      <w:r>
        <w:t xml:space="preserve">4.</w:t>
      </w:r>
      <w:r>
        <w:tab/>
      </w:r>
      <w:r>
        <w:t xml:space="preserve">It is desirable to increase vehicular safety by having fewer, better located and designed egresses onto existing streets.</w:t>
      </w:r>
    </w:p>
    <w:p>
      <w:pPr>
        <w:pStyle w:val="ListParagraph"/>
        <w:numPr>
          <w:ilvl w:val="1"/>
          <w:numId w:val="1"/>
        </w:numPr>
      </w:pPr>
      <w:r>
        <w:t xml:space="preserve">5.</w:t>
      </w:r>
      <w:r>
        <w:tab/>
      </w:r>
      <w:r>
        <w:t xml:space="preserve">It is desirable to preserve environmental quality by reduction of the total area over which vegetation is disturbed by cut or fill or displacement; by reduction in critical lands (slopes in excess of fifteen percent (15%), land within one hundred (100) feet of a water body, wetland or stream having outstanding or rare vegetation) disturbed by construction; reduction of the extent of waterways altered or relocated; reduction in the volume of cut and fill for roads and construction sites.</w:t>
      </w:r>
    </w:p>
    <w:p>
      <w:pPr>
        <w:pStyle w:val="ListParagraph"/>
        <w:numPr>
          <w:ilvl w:val="1"/>
          <w:numId w:val="1"/>
        </w:numPr>
      </w:pPr>
      <w:r>
        <w:t xml:space="preserve">6.</w:t>
      </w:r>
      <w:r>
        <w:tab/>
      </w:r>
      <w:r>
        <w:t xml:space="preserve">It is desirable to have the design and location and materials of the structure(s) on the site be sensitive to the natural environmental conditions, vistas and abutting properties.</w:t>
      </w:r>
    </w:p>
    <w:p>
      <w:pPr>
        <w:pStyle w:val="ListParagraph"/>
        <w:numPr>
          <w:ilvl w:val="1"/>
          <w:numId w:val="1"/>
        </w:numPr>
      </w:pPr>
      <w:r>
        <w:t xml:space="preserve">7.</w:t>
      </w:r>
      <w:r>
        <w:tab/>
      </w:r>
      <w:r>
        <w:t xml:space="preserve">There should be positive benefit to the City in some important respects, such as mitigation of environmental damage, better controlled traffic, preservation of current character through location of reserved open space, meeting the shelter and/or health needs of special populations of the City and so on.</w:t>
      </w:r>
    </w:p>
    <w:p>
      <w:pPr>
        <w:pStyle w:val="Heading3"/>
      </w:pPr>
      <w:r>
        <w:t xml:space="preserve">§ 6. Procedure</w:t>
      </w:r>
    </w:p>
    <w:p>
      <w:r>
        <w:t xml:space="preserve">The procedures to obtain approval for a Continuing Care Retirement Community, including administration, fees, powers, hearings and time limits, shall be those set forth in Article II for the Special Permit and in Article V for Site Plan.</w:t>
      </w:r>
    </w:p>
    <w:p>
      <w:pPr>
        <w:pStyle w:val="Heading3"/>
      </w:pPr>
      <w:r>
        <w:t xml:space="preserve">§ 7. Application and Submission Requirements</w:t>
      </w:r>
    </w:p>
    <w:p>
      <w:r>
        <w:t xml:space="preserve">The application and submission requirement, including informal review and formal application, shall be those as set forth in Article II for a Special Permit.</w:t>
      </w:r>
    </w:p>
    <w:p>
      <w:pPr>
        <w:pStyle w:val="Heading3"/>
      </w:pPr>
      <w:r>
        <w:t xml:space="preserve">§ 8. Application Review Process</w:t>
      </w:r>
    </w:p>
    <w:p>
      <w:r>
        <w:t xml:space="preserve">The special permit review process, standards for review and standards for approval shall be those as set forth in Article II. In applying those standards the Planning Board shall take into account all provisions of Article II.</w:t>
      </w:r>
    </w:p>
    <w:p>
      <w:pPr>
        <w:pStyle w:val="Heading2"/>
      </w:pPr>
      <w:r>
        <w:t xml:space="preserve">Article XI. Airport Environs Overlay District</w:t>
      </w:r>
    </w:p>
    <w:p>
      <w:pPr>
        <w:pStyle w:val="Heading3"/>
      </w:pPr>
      <w:r>
        <w:t xml:space="preserve">§ 1. Purpose and Definition</w:t>
      </w:r>
    </w:p>
    <w:p>
      <w:r>
        <w:t xml:space="preserve">The purpose of this section is declared to be the promotion of land uses in the Airport Environs Overlay District that are compatible with the current and future use of the Worcester Regional Airport, are in harmony with the Master Plan and promote the purposes of this Ordinance. The Airport Environs Overlay District is as shown on the Zoning Map of the City.</w:t>
      </w:r>
    </w:p>
    <w:p>
      <w:pPr>
        <w:pStyle w:val="Heading3"/>
      </w:pPr>
      <w:r>
        <w:t xml:space="preserve">§ 2. Application</w:t>
      </w:r>
    </w:p>
    <w:p>
      <w:pPr>
        <w:pStyle w:val="ListParagraph"/>
        <w:numPr>
          <w:ilvl w:val="0"/>
          <w:numId w:val="1"/>
        </w:numPr>
      </w:pPr>
      <w:r>
        <w:t xml:space="preserve">A.</w:t>
      </w:r>
      <w:r>
        <w:tab/>
      </w:r>
      <w:r>
        <w:t xml:space="preserve">It is the intent of this ordinance that all new residential buildings and or land uses within the Airport Environs Overlay District be constructed and operated in a manner consistent with respect to the normal operations now and in the future of the Worcester Regional Airport.</w:t>
      </w:r>
    </w:p>
    <w:p>
      <w:pPr>
        <w:pStyle w:val="ListParagraph"/>
        <w:numPr>
          <w:ilvl w:val="0"/>
          <w:numId w:val="1"/>
        </w:numPr>
      </w:pPr>
      <w:r>
        <w:t xml:space="preserve">B.</w:t>
      </w:r>
      <w:r>
        <w:tab/>
      </w:r>
      <w:r>
        <w:t xml:space="preserve">All residential building permit applications for activities covered by Section B-1 shall include a certificate, by an architect or professional engineer registered by the Commonwealth of Massachusetts or a third party approval agency, recognized by the Commonwealth of Massachusetts or the United States Department of Housing and Urban Development, that the building as designed will achieve an interior noise reduction level of 25 dba as defined by the Worcester Airport’s Noise Compatibility Program conducted under Part 150 of Federal Aviation Administration (FAA) regulations.</w:t>
      </w:r>
    </w:p>
    <w:p>
      <w:pPr>
        <w:pStyle w:val="ListParagraph"/>
        <w:numPr>
          <w:ilvl w:val="0"/>
          <w:numId w:val="1"/>
        </w:numPr>
      </w:pPr>
      <w:r>
        <w:t xml:space="preserve">C.</w:t>
      </w:r>
      <w:r>
        <w:tab/>
      </w:r>
      <w:r>
        <w:t xml:space="preserve">Any application for a building permit for the erection of a new residential building, or land use within the Airport Environs Overlay District shall require site plan approval under Article V. In addition to the general requirements for approval under Article V, all approvals required by this Article shall be subject to the following supplemental criteria: Where applicable, in the opinion of the planning board, the deed to such parcel or parcels shall include the following:</w:t>
      </w:r>
    </w:p>
    <w:p>
      <w:pPr>
        <w:pStyle w:val="ListParagraph"/>
        <w:numPr>
          <w:ilvl w:val="1"/>
          <w:numId w:val="1"/>
        </w:numPr>
      </w:pPr>
      <w:r>
        <w:t xml:space="preserve">1.</w:t>
      </w:r>
      <w:r>
        <w:tab/>
      </w:r>
      <w:r>
        <w:t xml:space="preserve">A statement indicating that any proposed structure on the lot shall comply with F.A.A. height restrictions.</w:t>
      </w:r>
    </w:p>
    <w:p>
      <w:pPr>
        <w:pStyle w:val="ListParagraph"/>
        <w:numPr>
          <w:ilvl w:val="1"/>
          <w:numId w:val="1"/>
        </w:numPr>
      </w:pPr>
      <w:r>
        <w:t xml:space="preserve">2.</w:t>
      </w:r>
      <w:r>
        <w:tab/>
      </w:r>
      <w:r>
        <w:t xml:space="preserve">Notification that the lot is located within an Airport Environs Overlay District and is subject to aircraft overflights.</w:t>
      </w:r>
    </w:p>
    <w:p>
      <w:pPr>
        <w:pStyle w:val="Heading2"/>
      </w:pPr>
      <w:r>
        <w:t xml:space="preserve">Article XII. Water Resources Protection Overlay District</w:t>
      </w:r>
    </w:p>
    <w:p>
      <w:pPr>
        <w:pStyle w:val="Heading3"/>
      </w:pPr>
      <w:r>
        <w:t xml:space="preserve">§ 5. Use Regulations</w:t>
      </w:r>
    </w:p>
    <w:p/>
    <w:p>
      <w:pPr>
        <w:pStyle w:val="Heading3"/>
      </w:pPr>
      <w:r>
        <w:t xml:space="preserve">§ 1. Purpose</w:t>
      </w:r>
    </w:p>
    <w:p>
      <w:pPr>
        <w:pStyle w:val="ListParagraph"/>
        <w:numPr>
          <w:ilvl w:val="0"/>
          <w:numId w:val="1"/>
        </w:numPr>
      </w:pPr>
      <w:r>
        <w:t xml:space="preserve">A.</w:t>
      </w:r>
      <w:r>
        <w:tab/>
      </w:r>
      <w:r>
        <w:t xml:space="preserve">The purposes of this Water Resources Protection Overlay District (WRPOD) are:</w:t>
      </w:r>
    </w:p>
    <w:p>
      <w:pPr>
        <w:pStyle w:val="ListParagraph"/>
        <w:numPr>
          <w:ilvl w:val="1"/>
          <w:numId w:val="1"/>
        </w:numPr>
      </w:pPr>
      <w:r>
        <w:t xml:space="preserve">1.</w:t>
      </w:r>
      <w:r>
        <w:tab/>
      </w:r>
      <w:r>
        <w:t xml:space="preserve">To promote the health, safety and general welfare of the community;</w:t>
      </w:r>
    </w:p>
    <w:p>
      <w:pPr>
        <w:pStyle w:val="ListParagraph"/>
        <w:numPr>
          <w:ilvl w:val="1"/>
          <w:numId w:val="1"/>
        </w:numPr>
      </w:pPr>
      <w:r>
        <w:t xml:space="preserve">2.</w:t>
      </w:r>
      <w:r>
        <w:tab/>
      </w:r>
      <w:r>
        <w:t xml:space="preserve">To preserve and maintain the existing and potential groundwater supplies, aquifers and groundwater recharge areas of affected municipalities and to protect them from adverse development or land use practices;</w:t>
      </w:r>
    </w:p>
    <w:p>
      <w:pPr>
        <w:pStyle w:val="ListParagraph"/>
        <w:numPr>
          <w:ilvl w:val="1"/>
          <w:numId w:val="1"/>
        </w:numPr>
      </w:pPr>
      <w:r>
        <w:t xml:space="preserve">3.</w:t>
      </w:r>
      <w:r>
        <w:tab/>
      </w:r>
      <w:r>
        <w:t xml:space="preserve">To preserve and protect present potential sources of drinking water supply for the public health and safety;</w:t>
      </w:r>
    </w:p>
    <w:p>
      <w:pPr>
        <w:pStyle w:val="ListParagraph"/>
        <w:numPr>
          <w:ilvl w:val="1"/>
          <w:numId w:val="1"/>
        </w:numPr>
      </w:pPr>
      <w:r>
        <w:t xml:space="preserve">4.</w:t>
      </w:r>
      <w:r>
        <w:tab/>
      </w:r>
      <w:r>
        <w:t xml:space="preserve">To prevent blight and the pollution of the environment.</w:t>
      </w:r>
    </w:p>
    <w:p>
      <w:pPr>
        <w:pStyle w:val="Heading3"/>
      </w:pPr>
      <w:r>
        <w:t xml:space="preserve">§ 2. Application</w:t>
      </w:r>
    </w:p>
    <w:p>
      <w:r>
        <w:t xml:space="preserve">For all construction, reconstruction or expansion of existing buildings or uses within the Water Resources Protection Overlay District the provisions of this article shall apply.</w:t>
      </w:r>
    </w:p>
    <w:p>
      <w:pPr>
        <w:pStyle w:val="Heading3"/>
      </w:pPr>
      <w:r>
        <w:t xml:space="preserve">§ 3. Definitions</w:t>
      </w:r>
    </w:p>
    <w:p>
      <w:pPr>
        <w:pStyle w:val="ListParagraph"/>
        <w:numPr>
          <w:ilvl w:val="0"/>
          <w:numId w:val="1"/>
        </w:numPr>
      </w:pPr>
      <w:r>
        <w:t xml:space="preserve">1.</w:t>
      </w:r>
      <w:r>
        <w:tab/>
      </w:r>
      <w:r>
        <w:t xml:space="preserve">Proper and approved disposal of any material in a sanitary or industrial landfill within the Water Resources Protection Overlay District which has and maintained all necessary approvals for that purpose.</w:t>
      </w:r>
    </w:p>
    <w:p>
      <w:pPr>
        <w:pStyle w:val="ListParagraph"/>
        <w:numPr>
          <w:ilvl w:val="0"/>
          <w:numId w:val="1"/>
        </w:numPr>
      </w:pPr>
      <w:r>
        <w:t xml:space="preserve">2.</w:t>
      </w:r>
      <w:r>
        <w:tab/>
      </w:r>
      <w:r>
        <w:t xml:space="preserve">Application of road salts in conformance with the Snow Ice Control Program of the Massachusetts Department of Public Works and Worcester’s Department of Public Works Snow Manual, or for private purposes.</w:t>
      </w:r>
    </w:p>
    <w:p>
      <w:pPr>
        <w:pStyle w:val="ListParagraph"/>
        <w:numPr>
          <w:ilvl w:val="0"/>
          <w:numId w:val="1"/>
        </w:numPr>
      </w:pPr>
      <w:r>
        <w:t xml:space="preserve">3.</w:t>
      </w:r>
      <w:r>
        <w:tab/>
      </w:r>
      <w:r>
        <w:t xml:space="preserve">Disposal of sanitary sewerage to subsurface sewage disposal systems as defined and permitted by Title V of Massachusetts Environmental Code, and any amendments made thereto by City Ordinance or Health Regulation.</w:t>
      </w:r>
    </w:p>
    <w:p>
      <w:pPr>
        <w:ind w:left="490"/>
      </w:pPr>
      <w:r>
        <w:rPr>
          <w:rStyle w:val="Term"/>
        </w:rPr>
        <w:t xml:space="preserve">AQUIFER</w:t>
      </w:r>
      <w:r>
        <w:t xml:space="preserve"> AQUIFER – a geological formation composed of rock, sand and gravel that is potentially capable of producing a minimum of four hundred (400) gallons per minute of potable water.</w:t>
      </w:r>
    </w:p>
    <w:p>
      <w:pPr>
        <w:ind w:left="490"/>
      </w:pPr>
      <w:r>
        <w:rPr>
          <w:rStyle w:val="Term"/>
        </w:rPr>
        <w:t xml:space="preserve">DISCHARGE</w:t>
      </w:r>
      <w:r>
        <w:t xml:space="preserve"> DISCHARGE – the accidental or intentional spilling, leaking, pumping, pouring, emitting, emptying or dumping of toxic or hazardous material upon or into any land or waters within the City of Worcester. Discharge includes, without limitation, leakage of such materials from failed or discarded containers or storage systems and disposal of such materials into any on- site sewage disposal system, dry-well, catch basin or unapproved landfill. The term “discharge” as used and applied in this Ordinance does not include the following:</w:t>
      </w:r>
    </w:p>
    <w:p>
      <w:pPr>
        <w:ind w:left="490"/>
      </w:pPr>
      <w:r>
        <w:rPr>
          <w:rStyle w:val="Term"/>
        </w:rPr>
        <w:t xml:space="preserve">DISPOSAL</w:t>
      </w:r>
      <w:r>
        <w:t xml:space="preserve"> DISPOSAL – the deposit, injection, dumping, spilling, leaking, incineration or placing of any hazardous material into or on any land or water so that hazardous material or any constituent thereof may enter the environment or be emitted into the air resulting in discharge to any waters, including ground water.</w:t>
      </w:r>
    </w:p>
    <w:p>
      <w:pPr>
        <w:ind w:left="490"/>
      </w:pPr>
      <w:r>
        <w:rPr>
          <w:rStyle w:val="Term"/>
        </w:rPr>
        <w:t xml:space="preserve">EARTH EXCAVATION</w:t>
      </w:r>
      <w:r>
        <w:t xml:space="preserve"> EARTH EXCAVATION – the removal of earth including soil, loam, sand, gravel, clay, stone, quarried rock or other subsurface products except water.</w:t>
      </w:r>
    </w:p>
    <w:p>
      <w:pPr>
        <w:ind w:left="490"/>
      </w:pPr>
      <w:r>
        <w:rPr>
          <w:rStyle w:val="Term"/>
        </w:rPr>
        <w:t xml:space="preserve">GROUNDWATER</w:t>
      </w:r>
      <w:r>
        <w:t xml:space="preserve"> GROUNDWATER – all the water beneath the surface of the ground.</w:t>
      </w:r>
    </w:p>
    <w:p>
      <w:pPr>
        <w:ind w:left="490"/>
      </w:pPr>
      <w:r>
        <w:rPr>
          <w:rStyle w:val="Term"/>
        </w:rPr>
        <w:t xml:space="preserve">HAZARDOUS MATERIALS</w:t>
      </w:r>
      <w:r>
        <w:t xml:space="preserve"> HAZARDOUS MATERIALS – as defined in M.G.L. Ch. 21E, means material including but not limited to any material, in whatever form, which because of its quantity, concentration, chemical, corrosive, flammable, reactive, toxic, infectious or radioactive characteristics, either separately or in combination with any substance or substances, constitutes a present or potential threat to human health, safety, welfare or to the environment when improperly stored, treated, transported, disposed of, used, or otherwise managed. The term shall also include those substances which are included under 42 USC Sec. 9601 (14), but is not limited to those substances. Any substance deemed a “hazardous waste” in Mass. General Laws Ch. 21C shall also be deemed a hazardous material for purposes of this Ordinance.</w:t>
      </w:r>
    </w:p>
    <w:p>
      <w:pPr>
        <w:ind w:left="490"/>
      </w:pPr>
      <w:r>
        <w:rPr>
          <w:rStyle w:val="Term"/>
        </w:rPr>
        <w:t xml:space="preserve">HAZARDOUS WASTE</w:t>
      </w:r>
      <w:r>
        <w:t xml:space="preserve"> HAZARDOUS WASTE – as defined in M.G.L. Ch. 21C means a waste, or combination of wastes, which because of its quantity, concentration, or physical, chemical or infectious characteristics may cause, or significantly contribute to an increase in serious irreversible, or incapacitating reversible illness or pose a substantial present or potential hazard to human health, safety or welfare of the environment when improperly treated, stored, transported, used or disposed of, or otherwise managed, however not to include solid or dissolved material in domestic sewage, or solid or dissolved materials in irrigation return flows or industrial discharges which are point sources subject to permits under Section-402 of the Federal Water Pollution Control Act of 1967 as amended, or source, special nuclear, or byproduct material as defined by the Atomic Energy acts of 1954.</w:t>
      </w:r>
    </w:p>
    <w:p>
      <w:pPr>
        <w:ind w:left="490"/>
      </w:pPr>
      <w:r>
        <w:rPr>
          <w:rStyle w:val="Term"/>
        </w:rPr>
        <w:t xml:space="preserve">IMPERVIOUS SURFACE</w:t>
      </w:r>
      <w:r>
        <w:t xml:space="preserve"> IMPERVIOUS SURFACE – material above or on the surface of or immediately occurring within twelve (12) inches of the surface of the ground, that does not allow water to penetrate into the soil below. An impervious surface shall include but not be limited to all buildings, parking areas, driveways, roads, sidewalks and areas of concrete or asphalt, except where runoff from impervious surfaces is recharged on-site and diverted to areas allowing for surface infiltration to the maximum extent possible.</w:t>
      </w:r>
    </w:p>
    <w:p>
      <w:pPr>
        <w:ind w:left="490"/>
      </w:pPr>
      <w:r>
        <w:rPr>
          <w:rStyle w:val="Term"/>
        </w:rPr>
        <w:t xml:space="preserve">RECHARGE AREAS</w:t>
      </w:r>
      <w:r>
        <w:t xml:space="preserve"> RECHARGE AREAS – areas composed of permeable, porous material that allow significant infiltration and collection of precipitation or surface water and thereby transmit this water to aquifers.</w:t>
      </w:r>
    </w:p>
    <w:p>
      <w:pPr>
        <w:ind w:left="490"/>
      </w:pPr>
      <w:r>
        <w:rPr>
          <w:rStyle w:val="Term"/>
        </w:rPr>
        <w:t xml:space="preserve">SANITARY SEWAGE</w:t>
      </w:r>
      <w:r>
        <w:t xml:space="preserve"> SANITARY SEWAGE – any water carried putrescible waste resulting from the discharge of water closets, laundry tubs, washing machines, sinks, showers, dishwashers or any other source.</w:t>
      </w:r>
    </w:p>
    <w:p>
      <w:pPr>
        <w:ind w:left="490"/>
      </w:pPr>
      <w:r>
        <w:rPr>
          <w:rStyle w:val="Term"/>
        </w:rPr>
        <w:t xml:space="preserve">SOLID WASTE</w:t>
      </w:r>
      <w:r>
        <w:t xml:space="preserve"> SOLID WASTE – Unwanted or discharged solid material with insufficient liquid content to be free flowing. This includes, but is not limited to rubbish, garbage, scrap materials, junk, refuse, inert fill material, landscape refuse, sanitary landfill, junkyard, salvage, yard/automobile graveyard. Solid wastes are classed as refuse.</w:t>
      </w:r>
    </w:p>
    <w:p>
      <w:pPr>
        <w:pStyle w:val="Heading3"/>
      </w:pPr>
      <w:r>
        <w:t xml:space="preserve">§ 4. Delineation of Water Resources Protection District</w:t>
      </w:r>
    </w:p>
    <w:p>
      <w:pPr>
        <w:pStyle w:val="ListParagraph"/>
        <w:numPr>
          <w:ilvl w:val="0"/>
          <w:numId w:val="1"/>
        </w:numPr>
      </w:pPr>
      <w:r>
        <w:t xml:space="preserve">A.</w:t>
      </w:r>
      <w:r>
        <w:tab/>
      </w:r>
      <w:r>
        <w:t xml:space="preserve">For the purpose of this Ordinance, there is hereby established within the City of Worcester an overlay district consisting of certain aquifer protection areas including zones of contribution and secondary recharge areas which are delineated on the zoning map and based on Aquifer Land Acquisition Maps, Delineation of Zones, Shrewsbury Well and Coal Mine Brook Wells, by IEP, Inc. dated October, 1983, at a scale of one (1) inch equals eight hundred (800) feet.</w:t>
      </w:r>
    </w:p>
    <w:p>
      <w:pPr>
        <w:pStyle w:val="ListParagraph"/>
        <w:numPr>
          <w:ilvl w:val="0"/>
          <w:numId w:val="1"/>
        </w:numPr>
      </w:pPr>
      <w:r>
        <w:t xml:space="preserve">B.</w:t>
      </w:r>
      <w:r>
        <w:tab/>
      </w:r>
      <w:r>
        <w:t xml:space="preserve">Uses otherwise not permitted in the portions of a zoning district as superimposed shall not be permitted in this district.</w:t>
      </w:r>
    </w:p>
    <w:p>
      <w:pPr>
        <w:pStyle w:val="ListParagraph"/>
        <w:numPr>
          <w:ilvl w:val="0"/>
          <w:numId w:val="1"/>
        </w:numPr>
      </w:pPr>
      <w:r>
        <w:t xml:space="preserve">C.</w:t>
      </w:r>
      <w:r>
        <w:tab/>
      </w:r>
      <w:r>
        <w:t xml:space="preserve">The Water Resources Protection Overlay District is defined as the aquifer zone of contribution and secondary recharge areas associated with the Coal Mine Brook Well (Quinsigamond Well) and Shrewsbury Well groundwater supplies.</w:t>
      </w:r>
    </w:p>
    <w:p>
      <w:pPr>
        <w:pStyle w:val="ListParagraph"/>
        <w:numPr>
          <w:ilvl w:val="1"/>
          <w:numId w:val="1"/>
        </w:numPr>
      </w:pPr>
      <w:r>
        <w:t xml:space="preserve">1.</w:t>
      </w:r>
      <w:r>
        <w:tab/>
      </w:r>
      <w:r>
        <w:t xml:space="preserve">The Zone of Contribution or GP-2 area is defined as the surface area which contributes water to each well under the most severe recharge and pumping conditions:</w:t>
      </w:r>
    </w:p>
    <w:p>
      <w:pPr>
        <w:pStyle w:val="ListParagraph"/>
        <w:numPr>
          <w:ilvl w:val="2"/>
          <w:numId w:val="1"/>
        </w:numPr>
      </w:pPr>
      <w:r>
        <w:t xml:space="preserve">a)</w:t>
      </w:r>
      <w:r>
        <w:tab/>
      </w:r>
      <w:r>
        <w:t xml:space="preserve">One hundred and eighty (180) days of continuous pumping at the safe yield during drought conditions. This area includes the “Cone of Depression” limits (where draw-down does not exceed 0.1 feet) and all up-gradient aquifer areas extended to the glacial till bedrock contact. This area also incorporates the area typically known as Zone 1, defined as the four hundred (400) foot radius located adjacent to each well.</w:t>
      </w:r>
    </w:p>
    <w:p>
      <w:pPr>
        <w:pStyle w:val="ListParagraph"/>
        <w:numPr>
          <w:ilvl w:val="1"/>
          <w:numId w:val="1"/>
        </w:numPr>
      </w:pPr>
      <w:r>
        <w:t xml:space="preserve">2.</w:t>
      </w:r>
      <w:r>
        <w:tab/>
      </w:r>
      <w:r>
        <w:t xml:space="preserve">The Secondary Recharge area or GP-3 area is defined as the surface and/or groundwater drainage area as determined by topography and geology which contributes surface and/or groundwater flow into the GP-2 or Zone of Contribution area.</w:t>
      </w:r>
    </w:p>
    <w:p>
      <w:pPr>
        <w:pStyle w:val="ListParagraph"/>
        <w:numPr>
          <w:ilvl w:val="0"/>
          <w:numId w:val="1"/>
        </w:numPr>
      </w:pPr>
      <w:r>
        <w:t xml:space="preserve">D.</w:t>
      </w:r>
      <w:r>
        <w:tab/>
      </w:r>
      <w:r>
        <w:t xml:space="preserve">For parcels located partially in the Water Resources Protection Overlay District or split between two (2) zones, the provisions of Section 5 apply to the individual portion of the parcel affected. TABLE 12.1 - WATER RESOURCES PROTECTION OVERLAY DISTRICT USE REGULATIONS ZONE REGULATED USE GP-2 GP-3</w:t>
      </w:r>
    </w:p>
    <w:p>
      <w:pPr>
        <w:pStyle w:val="ListParagraph"/>
        <w:numPr>
          <w:ilvl w:val="1"/>
          <w:numId w:val="1"/>
        </w:numPr>
      </w:pPr>
      <w:r>
        <w:t xml:space="preserve">1.</w:t>
      </w:r>
      <w:r>
        <w:tab/>
      </w:r>
      <w:r>
        <w:t xml:space="preserve">Disposal of Hazardous Materials N N</w:t>
      </w:r>
    </w:p>
    <w:p>
      <w:pPr>
        <w:pStyle w:val="ListParagraph"/>
        <w:numPr>
          <w:ilvl w:val="1"/>
          <w:numId w:val="1"/>
        </w:numPr>
      </w:pPr>
      <w:r>
        <w:t xml:space="preserve">2.</w:t>
      </w:r>
      <w:r>
        <w:tab/>
      </w:r>
      <w:r>
        <w:t xml:space="preserve">Manufacture, generation or storage of hazardous materials N SP in containers greater than five (5) gallons, except for indoor storage of liquid petroleum products for heating or power generation purposes within the same building.</w:t>
      </w:r>
    </w:p>
    <w:p>
      <w:pPr>
        <w:pStyle w:val="ListParagraph"/>
        <w:numPr>
          <w:ilvl w:val="1"/>
          <w:numId w:val="1"/>
        </w:numPr>
      </w:pPr>
      <w:r>
        <w:t xml:space="preserve">3.</w:t>
      </w:r>
      <w:r>
        <w:tab/>
      </w:r>
      <w:r>
        <w:t xml:space="preserve">Generation, treatment or storage of hazardous waste N SP</w:t>
      </w:r>
    </w:p>
    <w:p>
      <w:pPr>
        <w:pStyle w:val="ListParagraph"/>
        <w:numPr>
          <w:ilvl w:val="1"/>
          <w:numId w:val="1"/>
        </w:numPr>
      </w:pPr>
      <w:r>
        <w:t xml:space="preserve">4.</w:t>
      </w:r>
      <w:r>
        <w:tab/>
      </w:r>
      <w:r>
        <w:t xml:space="preserve">In-ground storage of hazardous materials. N SP</w:t>
      </w:r>
    </w:p>
    <w:p>
      <w:pPr>
        <w:pStyle w:val="ListParagraph"/>
        <w:numPr>
          <w:ilvl w:val="1"/>
          <w:numId w:val="1"/>
        </w:numPr>
      </w:pPr>
      <w:r>
        <w:t xml:space="preserve">5.</w:t>
      </w:r>
      <w:r>
        <w:tab/>
      </w:r>
      <w:r>
        <w:t xml:space="preserve">Sanitary landfill, junkyard, salvage yard/or other N SP Solid waste disposal.</w:t>
      </w:r>
    </w:p>
    <w:p>
      <w:pPr>
        <w:pStyle w:val="ListParagraph"/>
        <w:numPr>
          <w:ilvl w:val="1"/>
          <w:numId w:val="1"/>
        </w:numPr>
      </w:pPr>
      <w:r>
        <w:t xml:space="preserve">6.</w:t>
      </w:r>
      <w:r>
        <w:tab/>
      </w:r>
      <w:r>
        <w:t xml:space="preserve">Uses which discharge processed wastewater on-site, N N any commercial or service use discharging on-site wastewater containing contaminants other than sanitary sewerage.</w:t>
      </w:r>
    </w:p>
    <w:p>
      <w:pPr>
        <w:pStyle w:val="ListParagraph"/>
        <w:numPr>
          <w:ilvl w:val="1"/>
          <w:numId w:val="1"/>
        </w:numPr>
      </w:pPr>
      <w:r>
        <w:t xml:space="preserve">7.</w:t>
      </w:r>
      <w:r>
        <w:tab/>
      </w:r>
      <w:r>
        <w:t xml:space="preserve">Application of pesticides and herbicides for SP SP non-agricultural and non-residential uses.</w:t>
      </w:r>
    </w:p>
    <w:p>
      <w:pPr>
        <w:pStyle w:val="ListParagraph"/>
        <w:numPr>
          <w:ilvl w:val="1"/>
          <w:numId w:val="1"/>
        </w:numPr>
      </w:pPr>
      <w:r>
        <w:t xml:space="preserve">8.</w:t>
      </w:r>
      <w:r>
        <w:tab/>
      </w:r>
      <w:r>
        <w:t xml:space="preserve">Open storage of ice control chemicals in quantities N SP greater than one (1) ton.</w:t>
      </w:r>
    </w:p>
    <w:p>
      <w:pPr>
        <w:pStyle w:val="ListParagraph"/>
        <w:numPr>
          <w:ilvl w:val="1"/>
          <w:numId w:val="1"/>
        </w:numPr>
      </w:pPr>
      <w:r>
        <w:t xml:space="preserve">9.</w:t>
      </w:r>
      <w:r>
        <w:tab/>
      </w:r>
      <w:r>
        <w:t xml:space="preserve">Disposal of snow containing deicing chemicals. N SP</w:t>
      </w:r>
    </w:p>
    <w:p>
      <w:pPr>
        <w:pStyle w:val="ListParagraph"/>
        <w:numPr>
          <w:ilvl w:val="1"/>
          <w:numId w:val="1"/>
        </w:numPr>
      </w:pPr>
      <w:r>
        <w:t xml:space="preserve">10.</w:t>
      </w:r>
      <w:r>
        <w:tab/>
      </w:r>
      <w:r>
        <w:t xml:space="preserve">Commercial earth excavation. SP SP</w:t>
      </w:r>
    </w:p>
    <w:p>
      <w:pPr>
        <w:pStyle w:val="ListParagraph"/>
        <w:numPr>
          <w:ilvl w:val="1"/>
          <w:numId w:val="1"/>
        </w:numPr>
      </w:pPr>
      <w:r>
        <w:t xml:space="preserve">11.</w:t>
      </w:r>
      <w:r>
        <w:tab/>
      </w:r>
      <w:r>
        <w:t xml:space="preserve">Rendering impervious more than 20% of lot area. SP Y</w:t>
      </w:r>
    </w:p>
    <w:p>
      <w:pPr>
        <w:pStyle w:val="ListParagraph"/>
        <w:numPr>
          <w:ilvl w:val="1"/>
          <w:numId w:val="1"/>
        </w:numPr>
      </w:pPr>
      <w:r>
        <w:t xml:space="preserve">12.</w:t>
      </w:r>
      <w:r>
        <w:tab/>
      </w:r>
      <w:r>
        <w:t xml:space="preserve">Public garage or commercial garage, car washes N SP automotive paint shops and automotive shops.</w:t>
      </w:r>
    </w:p>
    <w:p>
      <w:pPr>
        <w:pStyle w:val="ListParagraph"/>
        <w:numPr>
          <w:ilvl w:val="1"/>
          <w:numId w:val="1"/>
        </w:numPr>
      </w:pPr>
      <w:r>
        <w:t xml:space="preserve">13.</w:t>
      </w:r>
      <w:r>
        <w:tab/>
      </w:r>
      <w:r>
        <w:t xml:space="preserve">Motor freight terminal. N SP</w:t>
      </w:r>
    </w:p>
    <w:p>
      <w:pPr>
        <w:pStyle w:val="ListParagraph"/>
        <w:numPr>
          <w:ilvl w:val="1"/>
          <w:numId w:val="1"/>
        </w:numPr>
      </w:pPr>
      <w:r>
        <w:t xml:space="preserve">14.</w:t>
      </w:r>
      <w:r>
        <w:tab/>
      </w:r>
      <w:r>
        <w:t xml:space="preserve">Commercial boat service, repair and storage facilities. N SP</w:t>
      </w:r>
    </w:p>
    <w:p>
      <w:pPr>
        <w:pStyle w:val="ListParagraph"/>
        <w:numPr>
          <w:ilvl w:val="1"/>
          <w:numId w:val="1"/>
        </w:numPr>
      </w:pPr>
      <w:r>
        <w:t xml:space="preserve">15.</w:t>
      </w:r>
      <w:r>
        <w:tab/>
      </w:r>
      <w:r>
        <w:t xml:space="preserve">Storage or landfilling of sludge or septage. N SP</w:t>
      </w:r>
    </w:p>
    <w:p>
      <w:pPr>
        <w:pStyle w:val="ListParagraph"/>
        <w:numPr>
          <w:ilvl w:val="1"/>
          <w:numId w:val="1"/>
        </w:numPr>
      </w:pPr>
      <w:r>
        <w:t xml:space="preserve">16.</w:t>
      </w:r>
      <w:r>
        <w:tab/>
      </w:r>
      <w:r>
        <w:t xml:space="preserve">Storage of commercial fertilizers and soil conditioners, N SP including animal manures, unless such storage is within a structure designed to prevent the generation and escape of contaminated runoff and leachate.</w:t>
      </w:r>
    </w:p>
    <w:p>
      <w:pPr>
        <w:pStyle w:val="Heading3"/>
      </w:pPr>
      <w:r>
        <w:t xml:space="preserve">§ 5. Use Regulations</w:t>
      </w:r>
    </w:p>
    <w:p>
      <w:pPr>
        <w:pStyle w:val="ListParagraph"/>
        <w:numPr>
          <w:ilvl w:val="0"/>
          <w:numId w:val="1"/>
        </w:numPr>
      </w:pPr>
      <w:r>
        <w:t xml:space="preserve">A.</w:t>
      </w:r>
      <w:r>
        <w:tab/>
      </w:r>
      <w:r>
        <w:t xml:space="preserve">Within the Water Resources Protection Overlay District, the underlying district continue to apply, except that certain uses are prohibited where indicated by no (N) in Table 12.1, and require a special permit where indicated by an “SP” in Table 12.1, even where the underlying district is more permissive. Where there is no entry or a yes (Y) in the schedule, the underlying district requirements are controlling.</w:t>
      </w:r>
    </w:p>
    <w:p>
      <w:pPr>
        <w:pStyle w:val="ListParagraph"/>
        <w:numPr>
          <w:ilvl w:val="0"/>
          <w:numId w:val="1"/>
        </w:numPr>
      </w:pPr>
      <w:r>
        <w:t xml:space="preserve">B.</w:t>
      </w:r>
      <w:r>
        <w:tab/>
      </w:r>
      <w:r>
        <w:t xml:space="preserve">Water Resources Protection Overlay District Summary of Use Regulations Refer to Table 12.1</w:t>
      </w:r>
    </w:p>
    <w:p>
      <w:pPr>
        <w:pStyle w:val="Heading3"/>
      </w:pPr>
      <w:r>
        <w:t xml:space="preserve">§ 6. Pre-existing Nonconforming Uses</w:t>
      </w:r>
    </w:p>
    <w:p>
      <w:r>
        <w:t xml:space="preserve">Notwithstanding any prohibition contained in the use regulations set forth in Section-5, any structure or use lawfully in existence on the effective date of this Article may be expanded, reconstructed, altered or changed by special permit issued by the Planning Board provided the Board finds that the expanded, reconstructed, altered or changed portion of the building meets the approved criteria set forth in Section-7(C); provided that any such special permit shall be granted with the condition that any existing underground storage tanks located on the entire site shall be removed and may be replaced with above ground storage facilities that meet the approved criteria set forth in Section-7(C)(5)(c).</w:t>
      </w:r>
    </w:p>
    <w:p>
      <w:pPr>
        <w:pStyle w:val="Heading3"/>
      </w:pPr>
      <w:r>
        <w:t xml:space="preserve">§ 7. Special Permits</w:t>
      </w:r>
    </w:p>
    <w:p>
      <w:r>
        <w:t xml:space="preserve">A special permit shall be granted if the Planning Board determines that the intent of this Ordinance, as well as the specific criteria set forth below, are met. In making such determination, the Planning Board shall give consideration to simplicity, reliability and feasibility of the control measures proposed and the degree of threat to surface and groundwater quality which would result if the control measures were to fail.</w:t>
      </w:r>
    </w:p>
    <w:p>
      <w:pPr>
        <w:pStyle w:val="ListParagraph"/>
        <w:numPr>
          <w:ilvl w:val="0"/>
          <w:numId w:val="1"/>
        </w:numPr>
      </w:pPr>
      <w:r>
        <w:t xml:space="preserve">A.</w:t>
      </w:r>
      <w:r>
        <w:tab/>
      </w:r>
      <w:r>
        <w:t xml:space="preserve">Application</w:t>
      </w:r>
    </w:p>
    <w:p>
      <w:pPr>
        <w:pStyle w:val="ListParagraph"/>
        <w:numPr>
          <w:ilvl w:val="1"/>
          <w:numId w:val="1"/>
        </w:numPr>
      </w:pPr>
      <w:r>
        <w:t xml:space="preserve">1.</w:t>
      </w:r>
      <w:r>
        <w:tab/>
      </w:r>
      <w:r>
        <w:t xml:space="preserve">Each application for a special permit shall be filed with the Planning Board and in the manner and form indicated in its rules and regulations governing special permits. In addition, the applicant shall distribute copies of the application to the Department of Health &amp; Human Services, Public Health Division and Code Enforcement Division, Department of Public Works &amp; Facilities, Water Operations Division, Conservation Commission; Fire Department, and the Executive Office of the City Manager, Economic Development Division. The applicant shall file with the City Clerk’s Office an affidavit signed under the pains and penalties of perjury indicating the dates and departments to which the application was delivered.</w:t>
      </w:r>
    </w:p>
    <w:p>
      <w:pPr>
        <w:pStyle w:val="ListParagraph"/>
        <w:numPr>
          <w:ilvl w:val="1"/>
          <w:numId w:val="1"/>
        </w:numPr>
      </w:pPr>
      <w:r>
        <w:t xml:space="preserve">2.</w:t>
      </w:r>
      <w:r>
        <w:tab/>
      </w:r>
      <w:r>
        <w:t xml:space="preserve">In addition to the information required by the Planning Board’s rules and regulations for special permits, each application shall also include the following:</w:t>
      </w:r>
    </w:p>
    <w:p>
      <w:pPr>
        <w:pStyle w:val="ListParagraph"/>
        <w:numPr>
          <w:ilvl w:val="2"/>
          <w:numId w:val="1"/>
        </w:numPr>
      </w:pPr>
      <w:r>
        <w:t xml:space="preserve">a)</w:t>
      </w:r>
      <w:r>
        <w:tab/>
      </w:r>
      <w:r>
        <w:t xml:space="preserve">A complete list of all chemicals, pesticides, fuels and other potentially toxic or hazardous materials to be used or stored on the premises in quantities greater than those associated with normal household use, along with a description of measures proposed to protect from vandalism, corrosion, leakage and counter-measures.</w:t>
      </w:r>
    </w:p>
    <w:p>
      <w:pPr>
        <w:pStyle w:val="ListParagraph"/>
        <w:numPr>
          <w:ilvl w:val="2"/>
          <w:numId w:val="1"/>
        </w:numPr>
      </w:pPr>
      <w:r>
        <w:t xml:space="preserve">b)</w:t>
      </w:r>
      <w:r>
        <w:tab/>
      </w:r>
      <w:r>
        <w:t xml:space="preserve">A description of potentially toxic or hazardous wastes to be generated, indicating storage and disposal method.</w:t>
      </w:r>
    </w:p>
    <w:p>
      <w:pPr>
        <w:pStyle w:val="ListParagraph"/>
        <w:numPr>
          <w:ilvl w:val="2"/>
          <w:numId w:val="1"/>
        </w:numPr>
      </w:pPr>
      <w:r>
        <w:t xml:space="preserve">c)</w:t>
      </w:r>
      <w:r>
        <w:tab/>
      </w:r>
      <w:r>
        <w:t xml:space="preserve">Evidence of approval by the Massachusetts Department of Environmental Protection (DEP) of any industrial waste treatment or disposal system and of any wastewater treatment system over fifteen thousand (15,000) gallons per day capacity.</w:t>
      </w:r>
    </w:p>
    <w:p>
      <w:pPr>
        <w:pStyle w:val="ListParagraph"/>
        <w:numPr>
          <w:ilvl w:val="2"/>
          <w:numId w:val="1"/>
        </w:numPr>
      </w:pPr>
      <w:r>
        <w:t xml:space="preserve">d)</w:t>
      </w:r>
      <w:r>
        <w:tab/>
      </w:r>
      <w:r>
        <w:t xml:space="preserve">For in-ground storage of hazardous materials, evidence of qualified professional supervision of the system design and installation.</w:t>
      </w:r>
    </w:p>
    <w:p>
      <w:pPr>
        <w:pStyle w:val="ListParagraph"/>
        <w:numPr>
          <w:ilvl w:val="2"/>
          <w:numId w:val="1"/>
        </w:numPr>
      </w:pPr>
      <w:r>
        <w:t xml:space="preserve">e)</w:t>
      </w:r>
      <w:r>
        <w:tab/>
      </w:r>
      <w:r>
        <w:t xml:space="preserve">Evidence of approval and recommendations by the Chief of the Worcester Fire Department for the above ground or underground storage of any flammable, hazardous or toxic materials.</w:t>
      </w:r>
    </w:p>
    <w:p>
      <w:pPr>
        <w:pStyle w:val="ListParagraph"/>
        <w:numPr>
          <w:ilvl w:val="1"/>
          <w:numId w:val="1"/>
        </w:numPr>
      </w:pPr>
      <w:r>
        <w:t xml:space="preserve">3.</w:t>
      </w:r>
      <w:r>
        <w:tab/>
      </w:r>
      <w:r>
        <w:t xml:space="preserve">A site plan at a scale within the range of one (1) inch equals twenty (20) feet to one</w:t>
      </w:r>
    </w:p>
    <w:p>
      <w:pPr>
        <w:pStyle w:val="ListParagraph"/>
        <w:numPr>
          <w:ilvl w:val="1"/>
          <w:numId w:val="1"/>
        </w:numPr>
      </w:pPr>
      <w:r>
        <w:t xml:space="preserve">(1)</w:t>
      </w:r>
      <w:r>
        <w:tab/>
      </w:r>
      <w:r>
        <w:t xml:space="preserve">inch equals one hundred (100) feet. The plan or plans shall be prepared by a Registered Professional Engineer or Professional Land Surveyor and shall include but not be limited to the following:</w:t>
      </w:r>
    </w:p>
    <w:p>
      <w:pPr>
        <w:pStyle w:val="ListParagraph"/>
        <w:numPr>
          <w:ilvl w:val="2"/>
          <w:numId w:val="1"/>
        </w:numPr>
      </w:pPr>
      <w:r>
        <w:t xml:space="preserve">a)</w:t>
      </w:r>
      <w:r>
        <w:tab/>
      </w:r>
      <w:r>
        <w:t xml:space="preserve">Existing property boundaries.</w:t>
      </w:r>
    </w:p>
    <w:p>
      <w:pPr>
        <w:pStyle w:val="ListParagraph"/>
        <w:numPr>
          <w:ilvl w:val="2"/>
          <w:numId w:val="1"/>
        </w:numPr>
      </w:pPr>
      <w:r>
        <w:t xml:space="preserve">b)</w:t>
      </w:r>
      <w:r>
        <w:tab/>
      </w:r>
      <w:r>
        <w:t xml:space="preserve">Existing and proposed topography at two (2) foot contour intervals.</w:t>
      </w:r>
    </w:p>
    <w:p>
      <w:pPr>
        <w:pStyle w:val="ListParagraph"/>
        <w:numPr>
          <w:ilvl w:val="2"/>
          <w:numId w:val="1"/>
        </w:numPr>
      </w:pPr>
      <w:r>
        <w:t xml:space="preserve">c)</w:t>
      </w:r>
      <w:r>
        <w:tab/>
      </w:r>
      <w:r>
        <w:t xml:space="preserve">Existing and proposed structures and buildings.</w:t>
      </w:r>
    </w:p>
    <w:p>
      <w:pPr>
        <w:pStyle w:val="ListParagraph"/>
        <w:numPr>
          <w:ilvl w:val="2"/>
          <w:numId w:val="1"/>
        </w:numPr>
      </w:pPr>
      <w:r>
        <w:t xml:space="preserve">d)</w:t>
      </w:r>
      <w:r>
        <w:tab/>
      </w:r>
      <w:r>
        <w:t xml:space="preserve">All facilities for surface drainage and erosion control, and calculations for the volume and rate of pre – construction and post – construction runoff from the site using either the Rational Method or Soil Conservation Service Method.</w:t>
      </w:r>
    </w:p>
    <w:p>
      <w:pPr>
        <w:pStyle w:val="ListParagraph"/>
        <w:numPr>
          <w:ilvl w:val="2"/>
          <w:numId w:val="1"/>
        </w:numPr>
      </w:pPr>
      <w:r>
        <w:t xml:space="preserve">e)</w:t>
      </w:r>
      <w:r>
        <w:tab/>
      </w:r>
      <w:r>
        <w:t xml:space="preserve">All impervious areas and those left in a natural state.</w:t>
      </w:r>
    </w:p>
    <w:p>
      <w:pPr>
        <w:pStyle w:val="ListParagraph"/>
        <w:numPr>
          <w:ilvl w:val="2"/>
          <w:numId w:val="1"/>
        </w:numPr>
      </w:pPr>
      <w:r>
        <w:t xml:space="preserve">f)</w:t>
      </w:r>
      <w:r>
        <w:tab/>
      </w:r>
      <w:r>
        <w:t xml:space="preserve">Maximum seasonal groundwater elevation.</w:t>
      </w:r>
    </w:p>
    <w:p>
      <w:pPr>
        <w:pStyle w:val="ListParagraph"/>
        <w:numPr>
          <w:ilvl w:val="2"/>
          <w:numId w:val="1"/>
        </w:numPr>
      </w:pPr>
      <w:r>
        <w:t xml:space="preserve">g)</w:t>
      </w:r>
      <w:r>
        <w:tab/>
      </w:r>
      <w:r>
        <w:t xml:space="preserve">The type of all potential fill to be used on site.</w:t>
      </w:r>
    </w:p>
    <w:p>
      <w:pPr>
        <w:pStyle w:val="ListParagraph"/>
        <w:numPr>
          <w:ilvl w:val="1"/>
          <w:numId w:val="1"/>
        </w:numPr>
      </w:pPr>
      <w:r>
        <w:t xml:space="preserve">4.</w:t>
      </w:r>
      <w:r>
        <w:tab/>
      </w:r>
      <w:r>
        <w:t xml:space="preserve">The application shall contain an analysis of the site conditions and potential impact of the proposed project, the Zone of Contribution (GP-2) and/or Recharge Area (GP-3) by a qualified engineer or hydro-geologist.</w:t>
      </w:r>
    </w:p>
    <w:p>
      <w:pPr>
        <w:pStyle w:val="ListParagraph"/>
        <w:numPr>
          <w:ilvl w:val="0"/>
          <w:numId w:val="1"/>
        </w:numPr>
      </w:pPr>
      <w:r>
        <w:t xml:space="preserve">B.</w:t>
      </w:r>
      <w:r>
        <w:tab/>
      </w:r>
      <w:r>
        <w:t xml:space="preserve">Procedures</w:t>
      </w:r>
    </w:p>
    <w:p>
      <w:pPr>
        <w:pStyle w:val="ListParagraph"/>
        <w:numPr>
          <w:ilvl w:val="1"/>
          <w:numId w:val="1"/>
        </w:numPr>
      </w:pPr>
      <w:r>
        <w:t xml:space="preserve">1.</w:t>
      </w:r>
      <w:r>
        <w:tab/>
      </w:r>
      <w:r>
        <w:t xml:space="preserve">The following departments shall review, either jointly or separately, the application and shall submit its recommendations to the Planning Board: Department of Health &amp; Human Services, Public Health Division and Code Enforcement Division; Department of Public Works &amp; Facilities, Water Operations Division and Conservation Commission; Fire Department; and the Executive Office of the City Manager, Economic Development Division.</w:t>
      </w:r>
    </w:p>
    <w:p>
      <w:pPr>
        <w:pStyle w:val="ListParagraph"/>
        <w:numPr>
          <w:ilvl w:val="1"/>
          <w:numId w:val="1"/>
        </w:numPr>
      </w:pPr>
      <w:r>
        <w:t xml:space="preserve">2.</w:t>
      </w:r>
      <w:r>
        <w:tab/>
      </w:r>
      <w:r>
        <w:t xml:space="preserve">The Planning Board may retain the services of a qualified professional to determine what information is deemed necessary to reach a decision on an application, or to review information submitted by the owner or applicant and charge the owner or applicant for the cost of the investigation.</w:t>
      </w:r>
    </w:p>
    <w:p>
      <w:pPr>
        <w:pStyle w:val="ListParagraph"/>
        <w:numPr>
          <w:ilvl w:val="0"/>
          <w:numId w:val="1"/>
        </w:numPr>
      </w:pPr>
      <w:r>
        <w:t xml:space="preserve">C.</w:t>
      </w:r>
      <w:r>
        <w:tab/>
      </w:r>
      <w:r>
        <w:t xml:space="preserve">Approval Criteria After notice and public hearing and after due consideration of the reports and recommendations of the Department of Health &amp; Human Services, Public Health Division and Code Enforcement Division; Department of Public Works &amp; Facilities, Water Operations Division and Conservation Commission; Fire Department; and the Executive Office of the City Manager, Economic Development Division, the Planning Board, in addition to the standards of review required under Article II, may grant such a special permit provided that it finds that the proposed use:</w:t>
      </w:r>
    </w:p>
    <w:p>
      <w:pPr>
        <w:pStyle w:val="ListParagraph"/>
        <w:numPr>
          <w:ilvl w:val="1"/>
          <w:numId w:val="1"/>
        </w:numPr>
      </w:pPr>
      <w:r>
        <w:t xml:space="preserve">1.</w:t>
      </w:r>
      <w:r>
        <w:tab/>
      </w:r>
      <w:r>
        <w:t xml:space="preserve">Will not degrade the groundwater quality at the boundaries of the premises below existing levels.</w:t>
      </w:r>
    </w:p>
    <w:p>
      <w:pPr>
        <w:pStyle w:val="ListParagraph"/>
        <w:numPr>
          <w:ilvl w:val="1"/>
          <w:numId w:val="1"/>
        </w:numPr>
      </w:pPr>
      <w:r>
        <w:t xml:space="preserve">2.</w:t>
      </w:r>
      <w:r>
        <w:tab/>
      </w:r>
      <w:r>
        <w:t xml:space="preserve">Is in harmony with the purpose and intent of this Ordinance and does not denigrate from the purposes of the Water Resources Protection Overlay District.</w:t>
      </w:r>
    </w:p>
    <w:p>
      <w:pPr>
        <w:pStyle w:val="ListParagraph"/>
        <w:numPr>
          <w:ilvl w:val="1"/>
          <w:numId w:val="1"/>
        </w:numPr>
      </w:pPr>
      <w:r>
        <w:t xml:space="preserve">3.</w:t>
      </w:r>
      <w:r>
        <w:tab/>
      </w:r>
      <w:r>
        <w:t xml:space="preserve">Will not, during construction or thereafter, have an adverse environmental impact on the Zone of Contribution (GP-2) or Secondary Recharge Area (GP-3)</w:t>
      </w:r>
    </w:p>
    <w:p>
      <w:pPr>
        <w:pStyle w:val="ListParagraph"/>
        <w:numPr>
          <w:ilvl w:val="1"/>
          <w:numId w:val="1"/>
        </w:numPr>
      </w:pPr>
      <w:r>
        <w:t xml:space="preserve">4.</w:t>
      </w:r>
      <w:r>
        <w:tab/>
      </w:r>
      <w:r>
        <w:t xml:space="preserve">Will not adversely affect an existing or identified potential public water supply within the Water Resources Protection Overlay District.</w:t>
      </w:r>
    </w:p>
    <w:p>
      <w:pPr>
        <w:pStyle w:val="ListParagraph"/>
        <w:numPr>
          <w:ilvl w:val="1"/>
          <w:numId w:val="1"/>
        </w:numPr>
      </w:pPr>
      <w:r>
        <w:t xml:space="preserve">5.</w:t>
      </w:r>
      <w:r>
        <w:tab/>
      </w:r>
      <w:r>
        <w:t xml:space="preserve">Will meet the following standards:</w:t>
      </w:r>
    </w:p>
    <w:p>
      <w:pPr>
        <w:pStyle w:val="ListParagraph"/>
        <w:numPr>
          <w:ilvl w:val="2"/>
          <w:numId w:val="1"/>
        </w:numPr>
      </w:pPr>
      <w:r>
        <w:t xml:space="preserve">a)</w:t>
      </w:r>
      <w:r>
        <w:tab/>
      </w:r>
      <w:r>
        <w:t xml:space="preserve">Any earth removal or land disturbing activity within the GP-2 zone of the overlay district may not be closer than four (4) feet above the historic high water elevation. Such earth removal or grading must employ appropriate measures to control erosion and siltation.</w:t>
      </w:r>
    </w:p>
    <w:p>
      <w:pPr>
        <w:pStyle w:val="ListParagraph"/>
        <w:numPr>
          <w:ilvl w:val="2"/>
          <w:numId w:val="1"/>
        </w:numPr>
      </w:pPr>
      <w:r>
        <w:t xml:space="preserve">b)</w:t>
      </w:r>
      <w:r>
        <w:tab/>
      </w:r>
      <w:r>
        <w:t xml:space="preserve">All fill material must be clean and free from hazardous materials, construction debris and other material whose leachate would be a potential contamination hazard to ground or surface waters.</w:t>
      </w:r>
    </w:p>
    <w:p>
      <w:pPr>
        <w:pStyle w:val="ListParagraph"/>
        <w:numPr>
          <w:ilvl w:val="2"/>
          <w:numId w:val="1"/>
        </w:numPr>
      </w:pPr>
      <w:r>
        <w:t xml:space="preserve">c)</w:t>
      </w:r>
      <w:r>
        <w:tab/>
      </w:r>
      <w:r>
        <w:t xml:space="preserve">Hazardous materials stored aboveground must be located on an impervious surface. The storage area must be equipped with a secondary containment system to prevent the material from reaching ground or surface water in the event of a leak or spill. The containment system must be able to contain one hundred and ten (110) percent of the tank’s contents.</w:t>
      </w:r>
    </w:p>
    <w:p>
      <w:pPr>
        <w:pStyle w:val="ListParagraph"/>
        <w:numPr>
          <w:ilvl w:val="2"/>
          <w:numId w:val="1"/>
        </w:numPr>
      </w:pPr>
      <w:r>
        <w:t xml:space="preserve">d)</w:t>
      </w:r>
      <w:r>
        <w:tab/>
      </w:r>
      <w:r>
        <w:t xml:space="preserve">Appropriate measures must be taken to ensure that any increase in storm- water runoff is artificially recharged into the ground. This may be done through such methods as dry wells, infiltration trenches, retention basins, etc.</w:t>
      </w:r>
    </w:p>
    <w:p>
      <w:pPr>
        <w:pStyle w:val="ListParagraph"/>
        <w:numPr>
          <w:ilvl w:val="2"/>
          <w:numId w:val="1"/>
        </w:numPr>
      </w:pPr>
      <w:r>
        <w:t xml:space="preserve">e)</w:t>
      </w:r>
      <w:r>
        <w:tab/>
      </w:r>
      <w:r>
        <w:t xml:space="preserve">All storm-water management facilities must be designed for the twenty-five</w:t>
      </w:r>
    </w:p>
    <w:p>
      <w:pPr>
        <w:pStyle w:val="ListParagraph"/>
        <w:numPr>
          <w:ilvl w:val="1"/>
          <w:numId w:val="1"/>
        </w:numPr>
      </w:pPr>
      <w:r>
        <w:t xml:space="preserve">(25)</w:t>
      </w:r>
      <w:r>
        <w:tab/>
      </w:r>
      <w:r>
        <w:t xml:space="preserve">year storm and designed to ensure that the rate and amount of runoff leaving the site does not exceed the rate and amount of runoff in the predevelopment state. Facilities for runoff from paved areas shall include structures for trapping oil, gas and other containments before recharge into the ground. These facilities shall be maintained by the owner on a not less than an annual basis.</w:t>
      </w:r>
    </w:p>
    <w:p>
      <w:pPr>
        <w:pStyle w:val="Heading2"/>
      </w:pPr>
      <w:r>
        <w:t xml:space="preserve">Article XIII. Priority Site Development</w:t>
      </w:r>
    </w:p>
    <w:p>
      <w:pPr>
        <w:pStyle w:val="Heading3"/>
      </w:pPr>
      <w:r>
        <w:t xml:space="preserve">§ 1. Purpose</w:t>
      </w:r>
    </w:p>
    <w:p>
      <w:r>
        <w:t xml:space="preserve">The purpose of this Article is to further expedite permitting in any Priority Development Site designated by the City Council pursuant to M.G.L. c. 43D, and to provide mechanisms for the change of facilities after the issuance of site plan approval or a special permit by the Planning Board.</w:t>
      </w:r>
    </w:p>
    <w:p>
      <w:pPr>
        <w:pStyle w:val="Heading3"/>
      </w:pPr>
      <w:r>
        <w:t xml:space="preserve">§ 2. Changes to Special Permits or Approved Site Plans</w:t>
      </w:r>
    </w:p>
    <w:p>
      <w:pPr>
        <w:pStyle w:val="ListParagraph"/>
        <w:numPr>
          <w:ilvl w:val="0"/>
          <w:numId w:val="1"/>
        </w:numPr>
      </w:pPr>
      <w:r>
        <w:t xml:space="preserve">A.</w:t>
      </w:r>
      <w:r>
        <w:tab/>
      </w:r>
      <w:r>
        <w:t xml:space="preserve">After the issuance of a Special Permit or Site Plan Approval for any Priority Development Site (PDS), the Planning Board, at its discretion, shall determine whether any proposed modifications to the previously approved plans for the project are substantial or insubstantial. In all cases, the determination shall be made using the framework described below.</w:t>
      </w:r>
    </w:p>
    <w:p>
      <w:pPr>
        <w:pStyle w:val="ListParagraph"/>
        <w:numPr>
          <w:ilvl w:val="0"/>
          <w:numId w:val="1"/>
        </w:numPr>
      </w:pPr>
      <w:r>
        <w:t xml:space="preserve">B.</w:t>
      </w:r>
      <w:r>
        <w:tab/>
      </w:r>
      <w:r>
        <w:t xml:space="preserve">Insubstantial Changes. The following shall constitute insubstantial modifications that may be approved by a majority vote of the Planning Board at a public meeting without the advertising and notice requirements of the initial consideration.</w:t>
      </w:r>
    </w:p>
    <w:p>
      <w:pPr>
        <w:pStyle w:val="ListParagraph"/>
        <w:numPr>
          <w:ilvl w:val="1"/>
          <w:numId w:val="1"/>
        </w:numPr>
      </w:pPr>
      <w:r>
        <w:t xml:space="preserve">1.</w:t>
      </w:r>
      <w:r>
        <w:tab/>
      </w:r>
      <w:r>
        <w:t xml:space="preserve">All underground changes;</w:t>
      </w:r>
    </w:p>
    <w:p>
      <w:pPr>
        <w:pStyle w:val="ListParagraph"/>
        <w:numPr>
          <w:ilvl w:val="1"/>
          <w:numId w:val="1"/>
        </w:numPr>
      </w:pPr>
      <w:r>
        <w:t xml:space="preserve">2.</w:t>
      </w:r>
      <w:r>
        <w:tab/>
      </w:r>
      <w:r>
        <w:t xml:space="preserve">Any change less than or equal to two feet (2’) in the location of buildings, parking, retaining walls or drainage facilities, caused by unexpected field conditions, as long as the new location does not penetrate the applicable setback required for the underlying zoning district or a non-zoning related setback specifically designated in the Planning Board’s Site Plan Approval or Special Permit Approval;</w:t>
      </w:r>
    </w:p>
    <w:p>
      <w:pPr>
        <w:pStyle w:val="ListParagraph"/>
        <w:numPr>
          <w:ilvl w:val="1"/>
          <w:numId w:val="1"/>
        </w:numPr>
      </w:pPr>
      <w:r>
        <w:t xml:space="preserve">3.</w:t>
      </w:r>
      <w:r>
        <w:tab/>
      </w:r>
      <w:r>
        <w:t xml:space="preserve">Changes in the location of less than, or equal to, 10% of the total area devoted to parking;</w:t>
      </w:r>
    </w:p>
    <w:p>
      <w:pPr>
        <w:pStyle w:val="ListParagraph"/>
        <w:numPr>
          <w:ilvl w:val="1"/>
          <w:numId w:val="1"/>
        </w:numPr>
      </w:pPr>
      <w:r>
        <w:t xml:space="preserve">4.</w:t>
      </w:r>
      <w:r>
        <w:tab/>
      </w:r>
      <w:r>
        <w:t xml:space="preserve">Changes in the number of compact parking spaces, provided that the number of compact spaces is less than or equal to 25% of the total number of spaces provided;</w:t>
      </w:r>
    </w:p>
    <w:p>
      <w:pPr>
        <w:pStyle w:val="ListParagraph"/>
        <w:numPr>
          <w:ilvl w:val="1"/>
          <w:numId w:val="1"/>
        </w:numPr>
      </w:pPr>
      <w:r>
        <w:t xml:space="preserve">5.</w:t>
      </w:r>
      <w:r>
        <w:tab/>
      </w:r>
      <w:r>
        <w:t xml:space="preserve">Changes in the location and types of lighting provided that they meet the intent of the zoning ordinance;</w:t>
      </w:r>
    </w:p>
    <w:p>
      <w:pPr>
        <w:pStyle w:val="ListParagraph"/>
        <w:numPr>
          <w:ilvl w:val="1"/>
          <w:numId w:val="1"/>
        </w:numPr>
      </w:pPr>
      <w:r>
        <w:t xml:space="preserve">6.</w:t>
      </w:r>
      <w:r>
        <w:tab/>
      </w:r>
      <w:r>
        <w:t xml:space="preserve">Changes in the dimensions of landscape buffers, location of plantings, and materials used, provided that they meet the intent of the zoning ordinance;</w:t>
      </w:r>
    </w:p>
    <w:p>
      <w:pPr>
        <w:pStyle w:val="ListParagraph"/>
        <w:numPr>
          <w:ilvl w:val="1"/>
          <w:numId w:val="1"/>
        </w:numPr>
      </w:pPr>
      <w:r>
        <w:t xml:space="preserve">7.</w:t>
      </w:r>
      <w:r>
        <w:tab/>
      </w:r>
      <w:r>
        <w:t xml:space="preserve">Changes in the location of signs provided that it meets the new location requirements of the Zoning Ordinance;</w:t>
      </w:r>
    </w:p>
    <w:p>
      <w:pPr>
        <w:pStyle w:val="ListParagraph"/>
        <w:numPr>
          <w:ilvl w:val="1"/>
          <w:numId w:val="1"/>
        </w:numPr>
      </w:pPr>
      <w:r>
        <w:t xml:space="preserve">8.</w:t>
      </w:r>
      <w:r>
        <w:tab/>
      </w:r>
      <w:r>
        <w:t xml:space="preserve">Any reduction in area of impervious surfaces;</w:t>
      </w:r>
    </w:p>
    <w:p>
      <w:pPr>
        <w:pStyle w:val="ListParagraph"/>
        <w:numPr>
          <w:ilvl w:val="1"/>
          <w:numId w:val="1"/>
        </w:numPr>
      </w:pPr>
      <w:r>
        <w:t xml:space="preserve">9.</w:t>
      </w:r>
      <w:r>
        <w:tab/>
      </w:r>
      <w:r>
        <w:t xml:space="preserve">The addition of nonhabitable accessory structures that meet the by-right requirements of the zoning ordinance;</w:t>
      </w:r>
    </w:p>
    <w:p>
      <w:pPr>
        <w:pStyle w:val="ListParagraph"/>
        <w:numPr>
          <w:ilvl w:val="1"/>
          <w:numId w:val="1"/>
        </w:numPr>
      </w:pPr>
      <w:r>
        <w:t xml:space="preserve">10.</w:t>
      </w:r>
      <w:r>
        <w:tab/>
      </w:r>
      <w:r>
        <w:t xml:space="preserve">Changes in grade that do not change the height of buildings by more than 5% provided that the resulting height of all structures meet the maximum height requirements of the zoning ordinance and that it does not create or disturb a slope greater than or equal to 15%; and</w:t>
      </w:r>
    </w:p>
    <w:p>
      <w:pPr>
        <w:pStyle w:val="ListParagraph"/>
        <w:numPr>
          <w:ilvl w:val="1"/>
          <w:numId w:val="1"/>
        </w:numPr>
      </w:pPr>
      <w:r>
        <w:t xml:space="preserve">11.</w:t>
      </w:r>
      <w:r>
        <w:tab/>
      </w:r>
      <w:r>
        <w:t xml:space="preserve">Any other changes the Planning Board, at its discretion, considers insubstantial, excluding those classified as substantial by this Ordinance.</w:t>
      </w:r>
    </w:p>
    <w:p>
      <w:pPr>
        <w:pStyle w:val="ListParagraph"/>
        <w:numPr>
          <w:ilvl w:val="0"/>
          <w:numId w:val="1"/>
        </w:numPr>
      </w:pPr>
      <w:r>
        <w:t xml:space="preserve">C.</w:t>
      </w:r>
      <w:r>
        <w:tab/>
      </w:r>
      <w:r>
        <w:t xml:space="preserve">Substantial Changes. The following shall constitute substantial modifications that are subject to authorization by the Planning Board of an amendment to the original application using the same standards and procedures applicable to the original application.</w:t>
      </w:r>
    </w:p>
    <w:p>
      <w:pPr>
        <w:pStyle w:val="ListParagraph"/>
        <w:numPr>
          <w:ilvl w:val="1"/>
          <w:numId w:val="1"/>
        </w:numPr>
      </w:pPr>
      <w:r>
        <w:t xml:space="preserve">1.</w:t>
      </w:r>
      <w:r>
        <w:tab/>
      </w:r>
      <w:r>
        <w:t xml:space="preserve">Any change in the location of buildings, parking, retaining walls or drainage facilities greater than two feet (2’) from the location approved.</w:t>
      </w:r>
    </w:p>
    <w:p>
      <w:pPr>
        <w:pStyle w:val="ListParagraph"/>
        <w:numPr>
          <w:ilvl w:val="1"/>
          <w:numId w:val="1"/>
        </w:numPr>
      </w:pPr>
      <w:r>
        <w:t xml:space="preserve">2.</w:t>
      </w:r>
      <w:r>
        <w:tab/>
      </w:r>
      <w:r>
        <w:t xml:space="preserve">Changes to building envelope that result in a larger footprint, an increase in height, an increase in volume, an increase in floor area, or any combination of such changes;</w:t>
      </w:r>
    </w:p>
    <w:p>
      <w:pPr>
        <w:pStyle w:val="ListParagraph"/>
        <w:numPr>
          <w:ilvl w:val="1"/>
          <w:numId w:val="1"/>
        </w:numPr>
      </w:pPr>
      <w:r>
        <w:t xml:space="preserve">3.</w:t>
      </w:r>
      <w:r>
        <w:tab/>
      </w:r>
      <w:r>
        <w:t xml:space="preserve">An increase in the land area devoted to parking, loading, or traffic circulation;</w:t>
      </w:r>
    </w:p>
    <w:p>
      <w:pPr>
        <w:pStyle w:val="ListParagraph"/>
        <w:numPr>
          <w:ilvl w:val="1"/>
          <w:numId w:val="1"/>
        </w:numPr>
      </w:pPr>
      <w:r>
        <w:t xml:space="preserve">4.</w:t>
      </w:r>
      <w:r>
        <w:tab/>
      </w:r>
      <w:r>
        <w:t xml:space="preserve">Changes to the architectural character including the color and style of materials used for the exterior façade of buildings;</w:t>
      </w:r>
    </w:p>
    <w:p>
      <w:pPr>
        <w:pStyle w:val="ListParagraph"/>
        <w:numPr>
          <w:ilvl w:val="1"/>
          <w:numId w:val="1"/>
        </w:numPr>
      </w:pPr>
      <w:r>
        <w:t xml:space="preserve">5.</w:t>
      </w:r>
      <w:r>
        <w:tab/>
      </w:r>
      <w:r>
        <w:t xml:space="preserve">Changes that result in a reduction of open space by more than 10%; and</w:t>
      </w:r>
    </w:p>
    <w:p>
      <w:pPr>
        <w:pStyle w:val="ListParagraph"/>
        <w:numPr>
          <w:ilvl w:val="1"/>
          <w:numId w:val="1"/>
        </w:numPr>
      </w:pPr>
      <w:r>
        <w:t xml:space="preserve">6.</w:t>
      </w:r>
      <w:r>
        <w:tab/>
      </w:r>
      <w:r>
        <w:t xml:space="preserve">Other changes the Planning Board, at its discretion, considers substantial in the context of the approved project.</w:t>
      </w:r>
    </w:p>
    <w:p>
      <w:pPr>
        <w:pStyle w:val="Heading3"/>
      </w:pPr>
      <w:r>
        <w:t xml:space="preserve">§ 3. Change of Use</w:t>
      </w:r>
    </w:p>
    <w:p>
      <w:r>
        <w:t xml:space="preserve">After the issuance of any Special Permit or Site Plan Approval for any Priority Development Site, a use available as of right in the underlying zoning district governing the Priority Development Site may be changed to another use available as of right in such underlying district without modification of the approved Site Plan or Special Permit, provided that none of the thresholds set forth in Section-2(B) and Section-2(C) of this Article are triggered.</w:t>
      </w:r>
    </w:p>
    <w:p>
      <w:pPr>
        <w:pStyle w:val="Heading2"/>
      </w:pPr>
      <w:r>
        <w:t xml:space="preserve">Article XV. Adaptive Reuse Overlay District</w:t>
      </w:r>
    </w:p>
    <w:p>
      <w:pPr>
        <w:pStyle w:val="Heading3"/>
      </w:pPr>
      <w:r>
        <w:t xml:space="preserve">§ 5. Parking Requirements</w:t>
      </w:r>
    </w:p>
    <w:p/>
    <w:p>
      <w:pPr>
        <w:pStyle w:val="Heading3"/>
      </w:pPr>
      <w:r>
        <w:t xml:space="preserve">§ 1. Purpose</w:t>
      </w:r>
    </w:p>
    <w:p>
      <w:pPr>
        <w:pStyle w:val="ListParagraph"/>
        <w:numPr>
          <w:ilvl w:val="0"/>
          <w:numId w:val="1"/>
        </w:numPr>
      </w:pPr>
      <w:r>
        <w:t xml:space="preserve">A.</w:t>
      </w:r>
      <w:r>
        <w:tab/>
      </w:r>
      <w:r>
        <w:t xml:space="preserve">The purposes of the Adaptive Reuse Overlay District (AROD) are:</w:t>
      </w:r>
    </w:p>
    <w:p>
      <w:pPr>
        <w:pStyle w:val="ListParagraph"/>
        <w:numPr>
          <w:ilvl w:val="1"/>
          <w:numId w:val="1"/>
        </w:numPr>
      </w:pPr>
      <w:r>
        <w:t xml:space="preserve">1.</w:t>
      </w:r>
      <w:r>
        <w:tab/>
      </w:r>
      <w:r>
        <w:t xml:space="preserve">Provide for the coordinated and mixed development of residential, business, industrial, manufacturing and institutional uses;</w:t>
      </w:r>
    </w:p>
    <w:p>
      <w:pPr>
        <w:pStyle w:val="ListParagraph"/>
        <w:numPr>
          <w:ilvl w:val="1"/>
          <w:numId w:val="1"/>
        </w:numPr>
      </w:pPr>
      <w:r>
        <w:t xml:space="preserve">2.</w:t>
      </w:r>
      <w:r>
        <w:tab/>
      </w:r>
      <w:r>
        <w:t xml:space="preserve">Encourage adaptive reuse of abandoned, vacant or underutilized business or manufacturing buildings or structures;</w:t>
      </w:r>
    </w:p>
    <w:p>
      <w:pPr>
        <w:pStyle w:val="ListParagraph"/>
        <w:numPr>
          <w:ilvl w:val="1"/>
          <w:numId w:val="1"/>
        </w:numPr>
      </w:pPr>
      <w:r>
        <w:t xml:space="preserve">3.</w:t>
      </w:r>
      <w:r>
        <w:tab/>
      </w:r>
      <w:r>
        <w:t xml:space="preserve">Create major new mixed used areas in planned locations at appropriate densities, heights and mixtures of use; and</w:t>
      </w:r>
    </w:p>
    <w:p>
      <w:pPr>
        <w:pStyle w:val="ListParagraph"/>
        <w:numPr>
          <w:ilvl w:val="1"/>
          <w:numId w:val="1"/>
        </w:numPr>
      </w:pPr>
      <w:r>
        <w:t xml:space="preserve">4.</w:t>
      </w:r>
      <w:r>
        <w:tab/>
      </w:r>
      <w:r>
        <w:t xml:space="preserve">Encourage flexibility in architectural design, restoration and building bulk.</w:t>
      </w:r>
    </w:p>
    <w:p>
      <w:pPr>
        <w:pStyle w:val="Heading3"/>
      </w:pPr>
      <w:r>
        <w:t xml:space="preserve">§ 2. Establishment of Adaptive Reuse Zones</w:t>
      </w:r>
    </w:p>
    <w:p>
      <w:r>
        <w:t xml:space="preserve">The Adaptive Reuse Overlay District is hereby established as an overlay district. The boundaries of the Adaptive Reuse Overlay District are shown on the official Zoning Map.</w:t>
      </w:r>
    </w:p>
    <w:p>
      <w:pPr>
        <w:pStyle w:val="Heading3"/>
      </w:pPr>
      <w:r>
        <w:t xml:space="preserve">§ 3. Permitted Uses in the Adaptive Reuse Overlay District</w:t>
      </w:r>
    </w:p>
    <w:p>
      <w:pPr>
        <w:pStyle w:val="ListParagraph"/>
        <w:numPr>
          <w:ilvl w:val="0"/>
          <w:numId w:val="1"/>
        </w:numPr>
      </w:pPr>
      <w:r>
        <w:t xml:space="preserve">A.</w:t>
      </w:r>
      <w:r>
        <w:tab/>
      </w:r>
      <w:r>
        <w:t xml:space="preserve">The following uses are permitted in the Adaptive Reuse Overlay District:</w:t>
      </w:r>
    </w:p>
    <w:p>
      <w:pPr>
        <w:pStyle w:val="ListParagraph"/>
        <w:numPr>
          <w:ilvl w:val="1"/>
          <w:numId w:val="1"/>
        </w:numPr>
      </w:pPr>
      <w:r>
        <w:t xml:space="preserve">1.</w:t>
      </w:r>
      <w:r>
        <w:tab/>
      </w:r>
      <w:r>
        <w:t xml:space="preserve">All uses permitted in the underlying zones whether in Manufacturing (MG, ML), Residential, General - 5.0 (RG-5.0), Business (BO, BL, BG), or Institutional (IN) zones, as provided in Article IV (Table 4.1) are permitted uses in the Adaptive Reuse Overlay Zone;</w:t>
      </w:r>
    </w:p>
    <w:p>
      <w:pPr>
        <w:pStyle w:val="ListParagraph"/>
        <w:numPr>
          <w:ilvl w:val="1"/>
          <w:numId w:val="1"/>
        </w:numPr>
      </w:pPr>
      <w:r>
        <w:t xml:space="preserve">2.</w:t>
      </w:r>
      <w:r>
        <w:tab/>
      </w:r>
      <w:r>
        <w:t xml:space="preserve">Multi-family dwelling, high rise;</w:t>
      </w:r>
    </w:p>
    <w:p>
      <w:pPr>
        <w:pStyle w:val="ListParagraph"/>
        <w:numPr>
          <w:ilvl w:val="1"/>
          <w:numId w:val="1"/>
        </w:numPr>
      </w:pPr>
      <w:r>
        <w:t xml:space="preserve">3.</w:t>
      </w:r>
      <w:r>
        <w:tab/>
      </w:r>
      <w:r>
        <w:t xml:space="preserve">Multi-family dwelling, low rise;</w:t>
      </w:r>
    </w:p>
    <w:p>
      <w:pPr>
        <w:pStyle w:val="ListParagraph"/>
        <w:numPr>
          <w:ilvl w:val="1"/>
          <w:numId w:val="1"/>
        </w:numPr>
      </w:pPr>
      <w:r>
        <w:t xml:space="preserve">4.</w:t>
      </w:r>
      <w:r>
        <w:tab/>
      </w:r>
      <w:r>
        <w:t xml:space="preserve">Dormitories; and</w:t>
      </w:r>
    </w:p>
    <w:p>
      <w:pPr>
        <w:pStyle w:val="ListParagraph"/>
        <w:numPr>
          <w:ilvl w:val="1"/>
          <w:numId w:val="1"/>
        </w:numPr>
      </w:pPr>
      <w:r>
        <w:t xml:space="preserve">5.</w:t>
      </w:r>
      <w:r>
        <w:tab/>
      </w:r>
      <w:r>
        <w:t xml:space="preserve">Single family semi-detached dwelling and by Special Permit:</w:t>
      </w:r>
    </w:p>
    <w:p>
      <w:pPr>
        <w:pStyle w:val="ListParagraph"/>
        <w:numPr>
          <w:ilvl w:val="2"/>
          <w:numId w:val="1"/>
        </w:numPr>
      </w:pPr>
      <w:r>
        <w:t xml:space="preserve">a)</w:t>
      </w:r>
      <w:r>
        <w:tab/>
      </w:r>
      <w:r>
        <w:t xml:space="preserve">Food service excluding consumption/sale of alcohol beverage</w:t>
      </w:r>
    </w:p>
    <w:p>
      <w:pPr>
        <w:pStyle w:val="ListParagraph"/>
        <w:numPr>
          <w:ilvl w:val="2"/>
          <w:numId w:val="1"/>
        </w:numPr>
      </w:pPr>
      <w:r>
        <w:t xml:space="preserve">b)</w:t>
      </w:r>
      <w:r>
        <w:tab/>
      </w:r>
      <w:r>
        <w:t xml:space="preserve">indoor recreation, health club – profit</w:t>
      </w:r>
    </w:p>
    <w:p>
      <w:pPr>
        <w:pStyle w:val="ListParagraph"/>
        <w:numPr>
          <w:ilvl w:val="2"/>
          <w:numId w:val="1"/>
        </w:numPr>
      </w:pPr>
      <w:r>
        <w:t xml:space="preserve">c)</w:t>
      </w:r>
      <w:r>
        <w:tab/>
      </w:r>
      <w:r>
        <w:t xml:space="preserve">retail sales, including retail with incidental fabrication assembly</w:t>
      </w:r>
    </w:p>
    <w:p>
      <w:pPr>
        <w:pStyle w:val="ListParagraph"/>
        <w:numPr>
          <w:ilvl w:val="2"/>
          <w:numId w:val="1"/>
        </w:numPr>
      </w:pPr>
      <w:r>
        <w:t xml:space="preserve">d)</w:t>
      </w:r>
      <w:r>
        <w:tab/>
      </w:r>
      <w:r>
        <w:t xml:space="preserve">single-family attached dwelling.</w:t>
      </w:r>
    </w:p>
    <w:p>
      <w:pPr>
        <w:ind w:left="1470"/>
      </w:pPr>
      <w:r>
        <w:t xml:space="preserve">Adaptive Reuse Developments which utilize the provisions of this Article relative to use, parking or dimensional controls shall require a special permit from the Planning Board.</w:t>
      </w:r>
    </w:p>
    <w:p>
      <w:pPr>
        <w:pStyle w:val="Heading3"/>
      </w:pPr>
      <w:r>
        <w:t xml:space="preserve">§ 4. Non-conforming Structures</w:t>
      </w:r>
    </w:p>
    <w:p>
      <w:r>
        <w:t xml:space="preserve">Within the Adaptive Reuse Overlay District, interior and structural alterations and repairs may be made to existing buildings or structures even though at the time of the application for the building permit for the alteration or repair, the lot, building or structure does not conform to one or more of the dimensional requirements in this Ordinance; provided, however, that the alteration does not amount to an extension or expansion of the exterior of the structure except for alterations to conform to the building code for health and safety purposes. For all new structures or buildings, the dimensional requirements of the underlying zoning district shall apply and, if applicable, to the extent that the dimensional requirements vary dependent upon the use of the building, the predominant use based upon gross floor area utilized shall govern.</w:t>
      </w:r>
    </w:p>
    <w:p>
      <w:pPr>
        <w:pStyle w:val="Heading3"/>
      </w:pPr>
      <w:r>
        <w:t xml:space="preserve">§ 5. Parking Requirements</w:t>
      </w:r>
    </w:p>
    <w:p>
      <w:pPr>
        <w:pStyle w:val="ListParagraph"/>
        <w:numPr>
          <w:ilvl w:val="0"/>
          <w:numId w:val="1"/>
        </w:numPr>
      </w:pPr>
      <w:r>
        <w:t xml:space="preserve">A.</w:t>
      </w:r>
      <w:r>
        <w:tab/>
      </w:r>
      <w:r>
        <w:t xml:space="preserve">Subject to Subsection 5(C) of this Article XV, for all new buildings and structures, the parking requirements of Table 4.4 of this Ordinance shall apply.</w:t>
      </w:r>
    </w:p>
    <w:p>
      <w:pPr>
        <w:pStyle w:val="ListParagraph"/>
        <w:numPr>
          <w:ilvl w:val="0"/>
          <w:numId w:val="1"/>
        </w:numPr>
      </w:pPr>
      <w:r>
        <w:t xml:space="preserve">B.</w:t>
      </w:r>
      <w:r>
        <w:tab/>
      </w:r>
      <w:r>
        <w:t xml:space="preserve">In addition, the Planning Board, by special permit, shall have the authority to waive or modify the dimensional controls set forth in Table 4.2 of this Ordinance.</w:t>
      </w:r>
    </w:p>
    <w:p>
      <w:pPr>
        <w:pStyle w:val="ListParagraph"/>
        <w:numPr>
          <w:ilvl w:val="0"/>
          <w:numId w:val="1"/>
        </w:numPr>
      </w:pPr>
      <w:r>
        <w:t xml:space="preserve">C.</w:t>
      </w:r>
      <w:r>
        <w:tab/>
      </w:r>
      <w:r>
        <w:t xml:space="preserve">For reuse or substantial restoration of existing buildings or structures within the Adaptive Reuse Overlay District and new Multi-Family Dwelling buildings (low-rise and high-rise), the parking requirements of Table 4.4 of this Ordinance shall apply with the following exceptions:</w:t>
      </w:r>
    </w:p>
    <w:p>
      <w:pPr>
        <w:pStyle w:val="ListParagraph"/>
        <w:numPr>
          <w:ilvl w:val="1"/>
          <w:numId w:val="1"/>
        </w:numPr>
      </w:pPr>
      <w:r>
        <w:t xml:space="preserve">1.</w:t>
      </w:r>
      <w:r>
        <w:tab/>
      </w:r>
      <w:r>
        <w:t xml:space="preserve">All residential parking shall require 1.5 parking spaces for each dwelling unit; and</w:t>
      </w:r>
    </w:p>
    <w:p>
      <w:pPr>
        <w:pStyle w:val="ListParagraph"/>
        <w:numPr>
          <w:ilvl w:val="1"/>
          <w:numId w:val="1"/>
        </w:numPr>
      </w:pPr>
      <w:r>
        <w:t xml:space="preserve">2.</w:t>
      </w:r>
      <w:r>
        <w:tab/>
      </w:r>
      <w:r>
        <w:t xml:space="preserve">Office, professional/general uses shall require one (1) parking space for every 500 square feet of gross floor area.</w:t>
      </w:r>
    </w:p>
    <w:p>
      <w:pPr>
        <w:pStyle w:val="ListParagraph"/>
        <w:numPr>
          <w:ilvl w:val="0"/>
          <w:numId w:val="1"/>
        </w:numPr>
      </w:pPr>
      <w:r>
        <w:t xml:space="preserve">D.</w:t>
      </w:r>
      <w:r>
        <w:tab/>
      </w:r>
      <w:r>
        <w:t xml:space="preserve">In addition, notwithstanding anything to the contrary contained in</w:t>
      </w:r>
    </w:p>
    <w:p>
      <w:pPr>
        <w:ind w:left="490"/>
      </w:pPr>
      <w:r>
        <w:t xml:space="preserve">Article IV, Section-7, the Planning Board shall be authorized to grant a special permit to modify parking, loading requirements, dimensional requirements for off-street parking and loading areas; landscaping requirements; intensity of use buffer area requirements; layout requirements and number of required spaces for uses permitted in the Adaptive Reuse Overlay District (by right or by special permit) pursuant to Section 3 of this Article. This provision shall only apply to Multi-Family Dwelling (low-rise and high-rise) uses (new or existing) and uses in the Adaptive Reuse Overlay District which are located in buildings or structures in existence as of October 22, 2022. Per Article IV, Table 4.4 Notes, the required number of spaces cannot be reduced below (1) space per dwelling unit.</w:t>
      </w:r>
    </w:p>
    <w:p>
      <w:pPr>
        <w:pStyle w:val="Heading2"/>
      </w:pPr>
      <w:r>
        <w:t xml:space="preserve">Article XVI. General Application of Regulations</w:t>
      </w:r>
    </w:p>
    <w:p>
      <w:pPr>
        <w:pStyle w:val="Heading3"/>
      </w:pPr>
      <w:r>
        <w:t xml:space="preserve">§ 1. General Applicability</w:t>
      </w:r>
    </w:p>
    <w:p>
      <w:pPr>
        <w:pStyle w:val="ListParagraph"/>
        <w:numPr>
          <w:ilvl w:val="0"/>
          <w:numId w:val="1"/>
        </w:numPr>
      </w:pPr>
      <w:r>
        <w:t xml:space="preserve">A.</w:t>
      </w:r>
      <w:r>
        <w:tab/>
      </w:r>
      <w:r>
        <w:t xml:space="preserve">The provisions of this Ordinance shall apply to all buildings, structures and land uses; provided, however, that as specified in </w:t>
      </w:r>
      <w:r>
        <w:t xml:space="preserve">M.G.L., Ch. 40A</w:t>
      </w:r>
      <w:r>
        <w:t xml:space="preserve">, nothing herein contained shall regulate or restrict the use of land or structures for religious purposes or for educational purposes on land owned or leased by the Commonwealth or any of its agencies, subdivisions or bodies politic, or by a religious sect or denomination, or by a non-profit educational corporation, or by a non-profit corporation with educational purposes, provided, however , that such land or structures shall be subject to reasonable regulations concerning the bulk and height of structures and determining yard sizes, lot area, setbacks, open space, parking and building coverage requirements as provided herein, including the Institutional District and the application of such other dimensional controls as are applicable in other districts. Nor shall anything in this Ordinance be deemed or construed to apply to or control land uses, buildings, or structures otherwise, exempted by law from the application of zoning regulations. Except as may be otherwise specified herein, no building, structure or lot may be maintained or used unless in conformity with the provisions of this Ordinance.</w:t>
      </w:r>
    </w:p>
    <w:p>
      <w:pPr>
        <w:pStyle w:val="ListParagraph"/>
        <w:numPr>
          <w:ilvl w:val="0"/>
          <w:numId w:val="1"/>
        </w:numPr>
      </w:pPr>
      <w:r>
        <w:t xml:space="preserve">B.</w:t>
      </w:r>
      <w:r>
        <w:tab/>
      </w:r>
      <w:r>
        <w:t xml:space="preserve">No building, structure or part thereof may be erected, reconstructed, extended, enlarged, or altered within the exterior lines of existing public rights of way, proposed new or widened public rights of way or municipal parks as shown on the Official Map of Worcester. For the purposes of determining yard depth such exterior lines shall be considered as the street lines. This section shall not apply to the location of voting booths, fire escapes and buildings on land owned by the United States or the Commonwealth of Massachusetts.</w:t>
      </w:r>
    </w:p>
    <w:p>
      <w:pPr>
        <w:pStyle w:val="Heading3"/>
      </w:pPr>
      <w:r>
        <w:t xml:space="preserve">§ 2. Exemptions</w:t>
      </w:r>
    </w:p>
    <w:p>
      <w:pPr>
        <w:pStyle w:val="ListParagraph"/>
        <w:numPr>
          <w:ilvl w:val="0"/>
          <w:numId w:val="1"/>
        </w:numPr>
      </w:pPr>
      <w:r>
        <w:t xml:space="preserve">A.</w:t>
      </w:r>
      <w:r>
        <w:tab/>
      </w:r>
      <w:r>
        <w:t xml:space="preserve">Single Lots Any increase in area, frontage, width, yard or depth requirements of this Ordinance shall not apply to a lot for single and two family residential use which at the time of recording or endorsement, whichever occurs sooner, was not held in common ownership with any adjoining land, conformed to then existing requirements and had less than the proposed requirement but at least five thousand (5,000) square feet of area and fifty (50) feet of frontage. The provisions of this paragraph shall not be construed to prohibit a lot being built upon, if at the time of the building, building upon such lot is not prohibited by the Ordinance in effect in the city of Worcester.</w:t>
      </w:r>
    </w:p>
    <w:p>
      <w:pPr>
        <w:pStyle w:val="ListParagraph"/>
        <w:numPr>
          <w:ilvl w:val="0"/>
          <w:numId w:val="1"/>
        </w:numPr>
      </w:pPr>
      <w:r>
        <w:t xml:space="preserve">B.</w:t>
      </w:r>
      <w:r>
        <w:tab/>
      </w:r>
      <w:r>
        <w:t xml:space="preserve">Definitive Plans If a definitive plan, or preliminary plan (as defined in </w:t>
      </w:r>
      <w:r>
        <w:t xml:space="preserve">M.G.L. Ch. 41</w:t>
      </w:r>
      <w:r>
        <w:t xml:space="preserve">) followed within seven (7) months by a definitive plan, is submitted to the Planning Board for approval under the Subdivision Control Law, and written notice of such submission has been given to the City Clerk before the effective date of this Ordinance or any subsequent amendments hereto, the land shown on such plan shall be governed by the applicable provisions of the Zoning Ordinance in effect at the time of the first such submission while such plan or plans are being processed under the Subdivision Control Law, and, if such definitive plan or an amendment thereof is finally approved, for eight (8) years from the date of the endorsement of such approval.</w:t>
      </w:r>
    </w:p>
    <w:p>
      <w:pPr>
        <w:pStyle w:val="ListParagraph"/>
        <w:numPr>
          <w:ilvl w:val="0"/>
          <w:numId w:val="1"/>
        </w:numPr>
      </w:pPr>
      <w:r>
        <w:t xml:space="preserve">C.</w:t>
      </w:r>
      <w:r>
        <w:tab/>
      </w:r>
      <w:r>
        <w:t xml:space="preserve">Approval Not Required Plans When a plan referred to in Section 81P of </w:t>
      </w:r>
      <w:r>
        <w:t xml:space="preserve">MGL Chapter 41</w:t>
      </w:r>
      <w:r>
        <w:t xml:space="preserve"> (approval of plans not subject to subdivision control law procedure) has been submitted to the Planning Board and written notice of such submission has been given to the City Clerk, the use of the land shown on such plan shall be governed by applicable provisions of the Zoning Ordinance in effect at the time of the submission of such plan while such plan is being processed under the Subdivision Control Law including the time required to pursue or await the determination of an appeal referred to in said section, and for a period of three (3) years from the date of endorsement by the Planning Board that approval under the Subdivision Control Law is not required, or words of similar import.</w:t>
      </w:r>
    </w:p>
    <w:p>
      <w:pPr>
        <w:pStyle w:val="ListParagraph"/>
        <w:numPr>
          <w:ilvl w:val="0"/>
          <w:numId w:val="1"/>
        </w:numPr>
      </w:pPr>
      <w:r>
        <w:t xml:space="preserve">D.</w:t>
      </w:r>
      <w:r>
        <w:tab/>
      </w:r>
      <w:r>
        <w:t xml:space="preserve">The provisions of this Ordinance shall not apply to the City of Worcester in the carrying out of any of its functions except for the provisions of Article XII, Water Resources Protection Overlay District.</w:t>
      </w:r>
    </w:p>
    <w:p>
      <w:pPr>
        <w:pStyle w:val="Heading3"/>
      </w:pPr>
      <w:r>
        <w:t xml:space="preserve">§ 3. Exceptions</w:t>
      </w:r>
    </w:p>
    <w:p>
      <w:pPr>
        <w:pStyle w:val="ListParagraph"/>
        <w:numPr>
          <w:ilvl w:val="0"/>
          <w:numId w:val="1"/>
        </w:numPr>
      </w:pPr>
      <w:r>
        <w:t xml:space="preserve">A.</w:t>
      </w:r>
      <w:r>
        <w:tab/>
      </w:r>
      <w:r>
        <w:t xml:space="preserve">Provided it is not otherwise nonconforming, a structural alteration, repair or extension of an existing one (1), two (2) or three (3) unit residential use may be made although at the time of application for the building permit for said alteration, repair or extension, the lot or building do not conform to one (1) or more of the dimensional requirements of this Ordinance; provided, however, that there be no change of use and, in the case of extension (except for the enclosure of a porch in existence on the effective date of this Ordinance) no such extension shall be located nearer than eight (8) feet from any side or rear lot line, and no such extension shall be erected within a required front yard.</w:t>
      </w:r>
    </w:p>
    <w:p>
      <w:pPr>
        <w:pStyle w:val="ListParagraph"/>
        <w:numPr>
          <w:ilvl w:val="0"/>
          <w:numId w:val="1"/>
        </w:numPr>
      </w:pPr>
      <w:r>
        <w:t xml:space="preserve">B.</w:t>
      </w:r>
      <w:r>
        <w:tab/>
      </w:r>
      <w:r>
        <w:t xml:space="preserve">Provided it is not otherwise nonconforming, an institutional or public service building or group of such buildings on one lot may be altered, enlarged or supplemented by a new building to a floor area ratio fifty percent (50%) greater than the maximum permitted in</w:t>
      </w:r>
    </w:p>
    <w:p>
      <w:pPr>
        <w:pStyle w:val="Heading2"/>
      </w:pPr>
      <w:r>
        <w:t xml:space="preserve">Article XVII. Legal Effect</w:t>
      </w:r>
    </w:p>
    <w:p>
      <w:pPr>
        <w:pStyle w:val="Heading3"/>
      </w:pPr>
      <w:r>
        <w:t xml:space="preserve">§ 6. Severability</w:t>
      </w:r>
    </w:p>
    <w:p>
      <w:r>
        <w:t xml:space="preserve">TABLES</w:t>
      </w:r>
    </w:p>
    <w:p>
      <w:pPr>
        <w:pStyle w:val="Heading3"/>
      </w:pPr>
      <w:r>
        <w:t xml:space="preserve">§ 5. Marginal Notes and Illustrations</w:t>
      </w:r>
    </w:p>
    <w:p/>
    <w:p>
      <w:pPr>
        <w:pStyle w:val="Heading3"/>
      </w:pPr>
      <w:r>
        <w:t xml:space="preserve">§ 4.1. Permitted Uses By Zoning Districts</w:t>
      </w:r>
    </w:p>
    <w:p/>
    <w:p>
      <w:pPr>
        <w:pStyle w:val="Heading3"/>
      </w:pPr>
      <w:r>
        <w:t xml:space="preserve">§ 4.2. Permitted Dimensions By District</w:t>
      </w:r>
    </w:p>
    <w:p/>
    <w:p>
      <w:pPr>
        <w:pStyle w:val="Heading3"/>
      </w:pPr>
      <w:r>
        <w:t xml:space="preserve">§ 4.3.1. Permanent Accessory Sign Table</w:t>
      </w:r>
    </w:p>
    <w:p>
      <w:r>
        <w:t xml:space="preserve">4.3.2A Temporary Accessory Signs With Commercial Speech 4.3.2B Temporary Accessory Signs With Commercial Speech</w:t>
      </w:r>
    </w:p>
    <w:p>
      <w:pPr>
        <w:pStyle w:val="Heading3"/>
      </w:pPr>
      <w:r>
        <w:t xml:space="preserve">§ 4.3.3. Non-Accessory Sign Table</w:t>
      </w:r>
    </w:p>
    <w:p/>
    <w:p>
      <w:pPr>
        <w:pStyle w:val="Heading3"/>
      </w:pPr>
      <w:r>
        <w:t xml:space="preserve">§ 4.4. Off-street Accessory Parking Requirements</w:t>
      </w:r>
    </w:p>
    <w:p/>
    <w:p>
      <w:pPr>
        <w:pStyle w:val="Heading3"/>
      </w:pPr>
      <w:r>
        <w:t xml:space="preserve">§ 4.5. Loading Requirements</w:t>
      </w:r>
    </w:p>
    <w:p/>
    <w:p>
      <w:pPr>
        <w:pStyle w:val="Heading3"/>
      </w:pPr>
      <w:r>
        <w:t xml:space="preserve">§ 5.1. Site Plan Review Thresholds</w:t>
      </w:r>
    </w:p>
    <w:p/>
    <w:p>
      <w:pPr>
        <w:pStyle w:val="Heading3"/>
      </w:pPr>
      <w:r>
        <w:t xml:space="preserve">§ 9.1. Minimum and Maximum Base Parking Requirements in CCOD</w:t>
      </w:r>
    </w:p>
    <w:p/>
    <w:p>
      <w:pPr>
        <w:pStyle w:val="Heading3"/>
      </w:pPr>
      <w:r>
        <w:t xml:space="preserve">§ 12.1. Water Resources Protection Overlay District Use Regulations</w:t>
      </w:r>
    </w:p>
    <w:p/>
    <w:p>
      <w:pPr>
        <w:pStyle w:val="Heading3"/>
      </w:pPr>
      <w:r>
        <w:t xml:space="preserve">§ 1. Word Application</w:t>
      </w:r>
    </w:p>
    <w:p>
      <w:pPr>
        <w:pStyle w:val="ListParagraph"/>
        <w:numPr>
          <w:ilvl w:val="0"/>
          <w:numId w:val="1"/>
        </w:numPr>
      </w:pPr>
      <w:r>
        <w:t xml:space="preserve">1.</w:t>
      </w:r>
      <w:r>
        <w:tab/>
      </w:r>
      <w:r>
        <w:t xml:space="preserve">For the purposes of this Ordinance, verbs used in the present include the future; the singular noun includes the plural and plural the singular; masculine pronouns include the feminine and the neuter.</w:t>
      </w:r>
    </w:p>
    <w:p>
      <w:pPr>
        <w:pStyle w:val="ListParagraph"/>
        <w:numPr>
          <w:ilvl w:val="0"/>
          <w:numId w:val="1"/>
        </w:numPr>
      </w:pPr>
      <w:r>
        <w:t xml:space="preserve">2.</w:t>
      </w:r>
      <w:r>
        <w:tab/>
      </w:r>
      <w:r>
        <w:t xml:space="preserve">The word “building” includes “structure” and shall be construed as being followed by the words “or part thereof”; the verb “occupied” includes the words “designed, arranged or intended to be occupied.” Where the verb “use” is employed, it shall be construed as if followed by the words “or is intended, arranged designed, built, altered, converted, rented or leased to be used.”</w:t>
      </w:r>
    </w:p>
    <w:p>
      <w:pPr>
        <w:pStyle w:val="ListParagraph"/>
        <w:numPr>
          <w:ilvl w:val="0"/>
          <w:numId w:val="1"/>
        </w:numPr>
      </w:pPr>
      <w:r>
        <w:t xml:space="preserve">3.</w:t>
      </w:r>
      <w:r>
        <w:tab/>
      </w:r>
      <w:r>
        <w:t xml:space="preserve">The word “shall” is mandatory and not directory.</w:t>
      </w:r>
    </w:p>
    <w:p>
      <w:pPr>
        <w:pStyle w:val="ListParagraph"/>
        <w:numPr>
          <w:ilvl w:val="0"/>
          <w:numId w:val="1"/>
        </w:numPr>
      </w:pPr>
      <w:r>
        <w:t xml:space="preserve">4.</w:t>
      </w:r>
      <w:r>
        <w:tab/>
      </w:r>
      <w:r>
        <w:t xml:space="preserve">All distances and areas refer to measurements in a horizontal plane and are to be accurate only to the nearest foot for distance measurement.</w:t>
      </w:r>
    </w:p>
    <w:p>
      <w:pPr>
        <w:pStyle w:val="ListParagraph"/>
        <w:numPr>
          <w:ilvl w:val="0"/>
          <w:numId w:val="1"/>
        </w:numPr>
      </w:pPr>
      <w:r>
        <w:t xml:space="preserve">5.</w:t>
      </w:r>
      <w:r>
        <w:tab/>
      </w:r>
      <w:r>
        <w:t xml:space="preserve">The words “this Article” and/or “this Ordinance” shall include amendments including amendments to the Zoning Map.</w:t>
      </w:r>
    </w:p>
    <w:p>
      <w:pPr>
        <w:pStyle w:val="Heading3"/>
      </w:pPr>
      <w:r>
        <w:t xml:space="preserve">§ 2. Amendments</w:t>
      </w:r>
    </w:p>
    <w:p>
      <w:r>
        <w:t xml:space="preserve">No change or amendment to this Ordinance shall be adopted until after the Planning Board and the City Council (or a committee of the same designated or appointed for the purpose) have held hearings required by law. (</w:t>
      </w:r>
      <w:r>
        <w:t xml:space="preserve">M.G.L. Ch. 40A, §5</w:t>
      </w:r>
      <w:r>
        <w:t xml:space="preserve">) Following hearings, no change shall be adopted except by a two-thirds (2/3) vote of all the members of the City Council; provided, that if there is filed with the City Clerk prior to final action by the City Council written protest against such change, stating the reasons, duly signed by the owners of twenty percent (20%) or more of the area proposed to be included in such change, or of the area of the land immediately adjacent, extending three hundred (300) feet there-from, no such change of the Ordinance shall be adopted except by a three-fourths (3/4) vote of all the members of the City Council. (</w:t>
      </w:r>
      <w:r>
        <w:t xml:space="preserve">M.G.L. Ch. 40A, §5</w:t>
      </w:r>
      <w:r>
        <w:t xml:space="preserve">) When an amendment to this Ordinance or a change in the districts or their boundaries occurs subsequent to the date this Ordinance becomes effective, the right to continue to use or maintain any building, structure or premises which was lawful when such amendment or change became effective shall not be impaired by any such amendment or change, except as provided in Chapter 40A of the General Laws.</w:t>
      </w:r>
    </w:p>
    <w:p>
      <w:pPr>
        <w:pStyle w:val="Heading3"/>
      </w:pPr>
      <w:r>
        <w:t xml:space="preserve">§ 3. Repeal/Validity of Prior Action</w:t>
      </w:r>
    </w:p>
    <w:p>
      <w:r>
        <w:t xml:space="preserve">As of the effective date of this Ordinance the previously existing Zoning Ordinance of the City of Worcester is hereby repealed. Any existing Ordinances or such parts thereof as may be inconsistent herewith are also hereby repealed. Except as otherwise provided in Chapter 40A of the General Laws, the adoption of this Ordinance shall not affect the validity of any action lawfully taken under the provision of the Ordinance in effect prior to the date this Ordinance becomes effective.</w:t>
      </w:r>
    </w:p>
    <w:p>
      <w:pPr>
        <w:pStyle w:val="Heading3"/>
      </w:pPr>
      <w:r>
        <w:t xml:space="preserve">§ 4. Statutory References</w:t>
      </w:r>
    </w:p>
    <w:p>
      <w:r>
        <w:t xml:space="preserve">References to the Massachusetts General Laws, wherever they appear in parentheses in this Ordinance, are not a part of this Ordinance, but are inserted for purposes of assistance and reference only.</w:t>
      </w:r>
    </w:p>
    <w:p>
      <w:pPr>
        <w:pStyle w:val="Heading3"/>
      </w:pPr>
      <w:r>
        <w:t xml:space="preserve">§ 5. Marginal Notes and Illustrations</w:t>
      </w:r>
    </w:p>
    <w:p>
      <w:r>
        <w:t xml:space="preserve">Marginal notes and illustrations, wherever they appear in this Ordinance, are not a part of this Ordinance, but are inserted for purposes of assistance and reference only.</w:t>
      </w:r>
    </w:p>
    <w:p>
      <w:pPr>
        <w:pStyle w:val="Heading3"/>
      </w:pPr>
      <w:r>
        <w:t xml:space="preserve">§ 6. Severability</w:t>
      </w:r>
    </w:p>
    <w:p>
      <w:r>
        <w:t xml:space="preserve">It is hereby declared to be the intention of the City of Worcester that nothing in this Ordinance shall be construed to conflict with the laws of the Commonwealth of Massachusetts or to limit additional requirements, if any, imposed by law. This Ordinance and the various Articles, sections, paragraphs, sentences, clauses or phrases are severable. If any Article, section, paragraph, sentence, clause or phrase of this Ordinance shall be declared unconstitutional by the decree of any court of competent jurisdiction, such constitutionality shall not affect any of the remaining Articles, sections, paragraphs, sentences, clauses or phrases of this Ordinance.</w:t>
      </w:r>
    </w:p>
    <w:p>
      <w:pPr>
        <w:pStyle w:val="Heading2"/>
      </w:pPr>
      <w:r>
        <w:t xml:space="preserve">Article 131. LAND – Any area under the jurisdiction of the Conservation Commission</w:t>
      </w:r>
    </w:p>
    <w:p>
      <w:pPr>
        <w:pStyle w:val="Heading3"/>
      </w:pPr>
      <w:r>
        <w:t xml:space="preserve">§ 7. Use Regulations</w:t>
      </w:r>
    </w:p>
    <w:p>
      <w:pPr>
        <w:pStyle w:val="ListParagraph"/>
        <w:numPr>
          <w:ilvl w:val="0"/>
          <w:numId w:val="1"/>
        </w:numPr>
      </w:pPr>
      <w:r>
        <w:t xml:space="preserve">A.</w:t>
      </w:r>
      <w:r>
        <w:tab/>
      </w:r>
      <w:r>
        <w:t xml:space="preserve">Permitted Uses The following uses shall be permitted within the Floodplain Overlay District provided they do not require any construction of new primary or existing structures, substantial alterations to existing primary or existing structures, dumping, filling, excavating, earth transfer or storage of materials or equipment. Said uses shall not adversely affect the capacity of the channels or floodways of any tributary to the main stream, drainage ditch or any other drainage facility or system. Said uses shall be compatible with the policies expressed in this Article.</w:t>
      </w:r>
    </w:p>
    <w:p>
      <w:pPr>
        <w:pStyle w:val="ListParagraph"/>
        <w:numPr>
          <w:ilvl w:val="1"/>
          <w:numId w:val="1"/>
        </w:numPr>
      </w:pPr>
      <w:r>
        <w:t xml:space="preserve">1.</w:t>
      </w:r>
      <w:r>
        <w:tab/>
      </w:r>
      <w:r>
        <w:t xml:space="preserve">Outdoor recreation, including but not limited to driving ranges, archery ranges, picnic grounds, boating, swimming areas, parks, nature preserves, fish hatcheries, target ranges, hunting and fishing areas, foot paths, horseback riding trails and bicycle trails. Said uses must be otherwise legally permitted.</w:t>
      </w:r>
    </w:p>
    <w:p>
      <w:pPr>
        <w:pStyle w:val="ListParagraph"/>
        <w:numPr>
          <w:ilvl w:val="1"/>
          <w:numId w:val="1"/>
        </w:numPr>
      </w:pPr>
      <w:r>
        <w:t xml:space="preserve">2.</w:t>
      </w:r>
      <w:r>
        <w:tab/>
      </w:r>
      <w:r>
        <w:t xml:space="preserve">Agricultural uses including grazing, outdoor plant nurseries, crop farming, horticulture, truck gardening, pasture and harvesting of crops.</w:t>
      </w:r>
    </w:p>
    <w:p>
      <w:pPr>
        <w:pStyle w:val="ListParagraph"/>
        <w:numPr>
          <w:ilvl w:val="1"/>
          <w:numId w:val="1"/>
        </w:numPr>
      </w:pPr>
      <w:r>
        <w:t xml:space="preserve">3.</w:t>
      </w:r>
      <w:r>
        <w:tab/>
      </w:r>
      <w:r>
        <w:t xml:space="preserve">Forestry, including landscaping, and accessory uses such as flower or vegetable gardens and lawns.</w:t>
      </w:r>
    </w:p>
    <w:p>
      <w:pPr>
        <w:pStyle w:val="ListParagraph"/>
        <w:numPr>
          <w:ilvl w:val="0"/>
          <w:numId w:val="1"/>
        </w:numPr>
      </w:pPr>
      <w:r>
        <w:t xml:space="preserve">B.</w:t>
      </w:r>
      <w:r>
        <w:tab/>
      </w:r>
      <w:r>
        <w:t xml:space="preserve">Other Uses Permitted in the Underlying Zoning District Any uses other than those provided for in Section-7(A) of this Article, permitted in the portions of the zoning districts which are overlaid by the Floodplain Overlay District, are permitted, provided the following criteria are met:</w:t>
      </w:r>
    </w:p>
    <w:p>
      <w:pPr>
        <w:pStyle w:val="ListParagraph"/>
        <w:numPr>
          <w:ilvl w:val="1"/>
          <w:numId w:val="1"/>
        </w:numPr>
      </w:pPr>
      <w:r>
        <w:t xml:space="preserve">1.</w:t>
      </w:r>
      <w:r>
        <w:tab/>
      </w:r>
      <w:r>
        <w:t xml:space="preserve">Said use shall not adversely affect life and property due to water or erosion hazards, or which cause damaging increase in erosion, flood heights or flood velocities.</w:t>
      </w:r>
    </w:p>
    <w:p>
      <w:pPr>
        <w:pStyle w:val="ListParagraph"/>
        <w:numPr>
          <w:ilvl w:val="1"/>
          <w:numId w:val="1"/>
        </w:numPr>
      </w:pPr>
      <w:r>
        <w:t xml:space="preserve">2.</w:t>
      </w:r>
      <w:r>
        <w:tab/>
      </w:r>
      <w:r>
        <w:t xml:space="preserve">Said use shall not overload any public water, drainage or sewer system or any other municipal system to such an extent that these systems are hindered from promoting the health, safety and general welfare of the community.</w:t>
      </w:r>
    </w:p>
    <w:p>
      <w:pPr>
        <w:pStyle w:val="ListParagraph"/>
        <w:numPr>
          <w:ilvl w:val="1"/>
          <w:numId w:val="1"/>
        </w:numPr>
      </w:pPr>
      <w:r>
        <w:t xml:space="preserve">3.</w:t>
      </w:r>
      <w:r>
        <w:tab/>
      </w:r>
      <w:r>
        <w:t xml:space="preserve">Said use has received from the Conservation Commission an Order of Conditions or a negative Determination of Applicability which establishes that the use meets the standards administered by that body.</w:t>
      </w:r>
    </w:p>
    <w:p>
      <w:pPr>
        <w:pStyle w:val="Heading3"/>
      </w:pPr>
      <w:r>
        <w:t xml:space="preserve">§ 8. Variances</w:t>
      </w:r>
    </w:p>
    <w:p>
      <w:pPr>
        <w:pStyle w:val="ListParagraph"/>
        <w:numPr>
          <w:ilvl w:val="0"/>
          <w:numId w:val="1"/>
        </w:numPr>
      </w:pPr>
      <w:r>
        <w:t xml:space="preserve">A.</w:t>
      </w:r>
      <w:r>
        <w:tab/>
      </w:r>
      <w:r>
        <w:t xml:space="preserve">Variances to Building Code Floodplain Standards The City of Worcester will request from the State Building Code Appeals Board a written and/or audible copy of the portion of the hearing related to the variance and will maintain this record in the City’s files. The City shall also issue a letter to the property owner regarding potential impacts to the annual premiums for the flood insurance policy covering that property, in writing over the signature of the appropriate official in the Department of Inspectional Services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 Such notification shall be maintained with the record of all variance actions for the referenced development in the floodplain overlay district.</w:t>
      </w:r>
    </w:p>
    <w:p>
      <w:pPr>
        <w:pStyle w:val="ListParagraph"/>
        <w:numPr>
          <w:ilvl w:val="0"/>
          <w:numId w:val="1"/>
        </w:numPr>
      </w:pPr>
      <w:r>
        <w:t xml:space="preserve">B.</w:t>
      </w:r>
      <w:r>
        <w:tab/>
      </w:r>
      <w:r>
        <w:t xml:space="preserve">Variances to the Worcester Zoning Ordinance Related to Community Compliance with the National Flood Insurance Program (NFIP) A variance from the provisions of this Article VI must meet the requirements set out by State law, and may only be granted if:</w:t>
      </w:r>
    </w:p>
    <w:p>
      <w:pPr>
        <w:pStyle w:val="ListParagraph"/>
        <w:numPr>
          <w:ilvl w:val="1"/>
          <w:numId w:val="1"/>
        </w:numPr>
      </w:pPr>
      <w:r>
        <w:t xml:space="preserve">(1)</w:t>
      </w:r>
      <w:r>
        <w:tab/>
      </w:r>
      <w:r>
        <w:t xml:space="preserve">Good and sufficient cause and exceptional non-financial hardship exist;</w:t>
      </w:r>
    </w:p>
    <w:p>
      <w:pPr>
        <w:pStyle w:val="ListParagraph"/>
        <w:numPr>
          <w:ilvl w:val="1"/>
          <w:numId w:val="1"/>
        </w:numPr>
      </w:pPr>
      <w:r>
        <w:t xml:space="preserve">(2)</w:t>
      </w:r>
      <w:r>
        <w:tab/>
      </w:r>
      <w:r>
        <w:t xml:space="preserve">the variance will not result in additional threats to public safety, extraordinary public expense, or fraud or victimization of the public; and</w:t>
      </w:r>
    </w:p>
    <w:p>
      <w:pPr>
        <w:pStyle w:val="ListParagraph"/>
        <w:numPr>
          <w:ilvl w:val="1"/>
          <w:numId w:val="1"/>
        </w:numPr>
      </w:pPr>
      <w:r>
        <w:t xml:space="preserve">(3)</w:t>
      </w:r>
      <w:r>
        <w:tab/>
      </w:r>
      <w:r>
        <w:t xml:space="preserve">the variance is the minimum action necessary to afford relief.</w:t>
      </w:r>
    </w:p>
    <w:p>
      <w:pPr>
        <w:pStyle w:val="Heading3"/>
      </w:pPr>
      <w:r>
        <w:t xml:space="preserve">§ 9. Miscellaneous</w:t>
      </w:r>
    </w:p>
    <w:p>
      <w:pPr>
        <w:pStyle w:val="ListParagraph"/>
        <w:numPr>
          <w:ilvl w:val="0"/>
          <w:numId w:val="1"/>
        </w:numPr>
      </w:pPr>
      <w:r>
        <w:t xml:space="preserve">A.</w:t>
      </w:r>
      <w:r>
        <w:tab/>
      </w:r>
      <w:r>
        <w:t xml:space="preserve">Requirement to Submit New Technical Data If the City of Worcester acquires data that changes the base flood elevation in the FEMA mapped Special Flood Hazard Areas, the City will, within 6 months, notify FEMA of these changes by submitting the technical or scientific data that supports the change(s.) Notification shall be submitted to:</w:t>
      </w:r>
    </w:p>
    <w:p>
      <w:pPr>
        <w:pStyle w:val="ListParagraph"/>
        <w:numPr>
          <w:ilvl w:val="1"/>
          <w:numId w:val="1"/>
        </w:numPr>
      </w:pPr>
      <w:r>
        <w:t xml:space="preserve">•</w:t>
      </w:r>
      <w:r>
        <w:tab/>
      </w:r>
      <w:r>
        <w:t xml:space="preserve">NFIP State Coordinator, Massachusetts Department of Conservation and Recreation</w:t>
      </w:r>
    </w:p>
    <w:p>
      <w:pPr>
        <w:pStyle w:val="ListParagraph"/>
        <w:numPr>
          <w:ilvl w:val="1"/>
          <w:numId w:val="1"/>
        </w:numPr>
      </w:pPr>
      <w:r>
        <w:t xml:space="preserve">•</w:t>
      </w:r>
      <w:r>
        <w:tab/>
      </w:r>
      <w:r>
        <w:t xml:space="preserve">NFIP Program Specialist, Federal Emergency Management Agency, Region I</w:t>
      </w:r>
    </w:p>
    <w:p>
      <w:pPr>
        <w:pStyle w:val="ListParagraph"/>
        <w:numPr>
          <w:ilvl w:val="0"/>
          <w:numId w:val="1"/>
        </w:numPr>
      </w:pPr>
      <w:r>
        <w:t xml:space="preserve">B.</w:t>
      </w:r>
      <w:r>
        <w:tab/>
      </w:r>
      <w:r>
        <w:t xml:space="preserve">Watercourse Alterations or Relocations in Riverine Areas In a riverine situation, the director of code enforcement shall notify the following of any alteration or relocation of a watercourse:</w:t>
      </w:r>
    </w:p>
    <w:p>
      <w:pPr>
        <w:pStyle w:val="ListParagraph"/>
        <w:numPr>
          <w:ilvl w:val="1"/>
          <w:numId w:val="1"/>
        </w:numPr>
      </w:pPr>
      <w:r>
        <w:t xml:space="preserve">•</w:t>
      </w:r>
      <w:r>
        <w:tab/>
      </w:r>
      <w:r>
        <w:t xml:space="preserve">Adjacent Communities, especially upstream and downstream</w:t>
      </w:r>
    </w:p>
    <w:p>
      <w:pPr>
        <w:pStyle w:val="ListParagraph"/>
        <w:numPr>
          <w:ilvl w:val="1"/>
          <w:numId w:val="1"/>
        </w:numPr>
      </w:pPr>
      <w:r>
        <w:t xml:space="preserve">•</w:t>
      </w:r>
      <w:r>
        <w:tab/>
      </w:r>
      <w:r>
        <w:t xml:space="preserve">Bordering States, if affected</w:t>
      </w:r>
    </w:p>
    <w:p>
      <w:pPr>
        <w:pStyle w:val="ListParagraph"/>
        <w:numPr>
          <w:ilvl w:val="1"/>
          <w:numId w:val="1"/>
        </w:numPr>
      </w:pPr>
      <w:r>
        <w:t xml:space="preserve">•</w:t>
      </w:r>
      <w:r>
        <w:tab/>
      </w:r>
      <w:r>
        <w:t xml:space="preserve">NFIP State Coordinator, Massachusetts Department of Conservation and Recreation</w:t>
      </w:r>
    </w:p>
    <w:p>
      <w:pPr>
        <w:pStyle w:val="ListParagraph"/>
        <w:numPr>
          <w:ilvl w:val="1"/>
          <w:numId w:val="1"/>
        </w:numPr>
      </w:pPr>
      <w:r>
        <w:t xml:space="preserve">•</w:t>
      </w:r>
      <w:r>
        <w:tab/>
      </w:r>
      <w:r>
        <w:t xml:space="preserve">NFIP Program Specialist, Federal Emergency Management Agency, Region I</w:t>
      </w:r>
    </w:p>
    <w:p>
      <w:pPr>
        <w:pStyle w:val="ListParagraph"/>
        <w:numPr>
          <w:ilvl w:val="0"/>
          <w:numId w:val="1"/>
        </w:numPr>
      </w:pPr>
      <w:r>
        <w:t xml:space="preserve">C.</w:t>
      </w:r>
      <w:r>
        <w:tab/>
      </w:r>
      <w:r>
        <w:t xml:space="preserve">Abrogation and Greater Restriction The floodplain management regulations found in this Floodplain Overlay District section shall take precedence over any less restrictive conflicting City of Worcester ordinance.</w:t>
      </w:r>
    </w:p>
    <w:p>
      <w:pPr>
        <w:pStyle w:val="ListParagraph"/>
        <w:numPr>
          <w:ilvl w:val="0"/>
          <w:numId w:val="1"/>
        </w:numPr>
      </w:pPr>
      <w:r>
        <w:t xml:space="preserve">D.</w:t>
      </w:r>
      <w:r>
        <w:tab/>
      </w:r>
      <w:r>
        <w:t xml:space="preserve">Disclaimer of Liability The degree of flood protection required by this ordinance is considered reasonable but does not imply total flood protection.</w:t>
      </w:r>
    </w:p>
    <w:p>
      <w:pPr>
        <w:pStyle w:val="ListParagraph"/>
        <w:numPr>
          <w:ilvl w:val="0"/>
          <w:numId w:val="1"/>
        </w:numPr>
      </w:pPr>
      <w:r>
        <w:t xml:space="preserve">E.</w:t>
      </w:r>
      <w:r>
        <w:tab/>
      </w:r>
      <w:r>
        <w:t xml:space="preserve">Severability If any section, provision or portion of this ordinance is deemed to be unconstitutional or invalid by a court, the remainder of the ordinance shall be effective.</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current through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current through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City of Worcester, Massachusetts</w:t>
    </w:r>
    <w:r>
      <w:tab/>
    </w:r>
    <w:r>
      <w:t xml:space="preserve">Zoning Ordinance</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City of Worcester, Massachusetts</w:t>
    </w:r>
    <w:r>
      <w:tab/>
    </w:r>
    <w:r>
      <w:t xml:space="preserve">Zoning Ordinance</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490" w:hanging="490"/>
      </w:pPr>
    </w:lvl>
    <w:lvl w:ilvl="1">
      <w:start w:val="1"/>
      <w:numFmt w:val="none"/>
      <w:suff w:val="nothing"/>
      <w:lvlText w:val=""/>
      <w:lvlJc w:val="left"/>
      <w:pPr>
        <w:ind w:left="1075" w:hanging="585"/>
      </w:pPr>
    </w:lvl>
    <w:lvl w:ilvl="2">
      <w:start w:val="1"/>
      <w:numFmt w:val="none"/>
      <w:suff w:val="nothing"/>
      <w:lvlText w:val=""/>
      <w:lvlJc w:val="left"/>
      <w:pPr>
        <w:ind w:left="1470" w:hanging="395"/>
      </w:pPr>
    </w:lvl>
    <w:lvl w:ilvl="3">
      <w:start w:val="1"/>
      <w:numFmt w:val="none"/>
      <w:suff w:val="nothing"/>
      <w:lvlText w:val=""/>
      <w:lvlJc w:val="left"/>
      <w:pPr>
        <w:ind w:left="2055" w:hanging="585"/>
      </w:pPr>
    </w:lvl>
    <w:lvl w:ilvl="4">
      <w:start w:val="1"/>
      <w:numFmt w:val="none"/>
      <w:suff w:val="nothing"/>
      <w:lvlText w:val=""/>
      <w:lvlJc w:val="left"/>
      <w:pPr>
        <w:ind w:left="2415" w:hanging="360"/>
      </w:pPr>
    </w:lvl>
    <w:lvl w:ilvl="5">
      <w:start w:val="1"/>
      <w:numFmt w:val="none"/>
      <w:suff w:val="nothing"/>
      <w:lvlText w:val=""/>
      <w:lvlJc w:val="left"/>
      <w:pPr>
        <w:ind w:left="2775" w:hanging="360"/>
      </w:pPr>
    </w:lvl>
    <w:lvl w:ilvl="6">
      <w:start w:val="1"/>
      <w:numFmt w:val="none"/>
      <w:suff w:val="nothing"/>
      <w:lvlText w:val=""/>
      <w:lvlJc w:val="left"/>
      <w:pPr>
        <w:ind w:left="3135" w:hanging="360"/>
      </w:pPr>
    </w:lvl>
    <w:lvl w:ilvl="7">
      <w:start w:val="1"/>
      <w:numFmt w:val="none"/>
      <w:suff w:val="nothing"/>
      <w:lvlText w:val=""/>
      <w:lvlJc w:val="left"/>
      <w:pPr>
        <w:ind w:left="3495" w:hanging="360"/>
      </w:pPr>
    </w:lvl>
    <w:lvl w:ilvl="8">
      <w:start w:val="1"/>
      <w:numFmt w:val="none"/>
      <w:suff w:val="nothing"/>
      <w:lvlText w:val=""/>
      <w:lvlJc w:val="left"/>
      <w:pPr>
        <w:ind w:left="3855" w:hanging="360"/>
      </w:pPr>
    </w:lvl>
  </w:abstractNum>
  <w:abstractNum w:abstractNumId="1">
    <w:multiLevelType w:val="multilevel"/>
    <w:name w:val="Unnumbered list"/>
    <w:lvl w:ilvl="0">
      <w:start w:val="1"/>
      <w:numFmt w:val="bullet"/>
      <w:lvlText w:val=""/>
      <w:lvlJc w:val="left"/>
      <w:pPr>
        <w:ind w:left="850" w:hanging="360"/>
      </w:pPr>
      <w:rPr>
        <w:rFonts w:ascii="Symbol" w:hAnsi="Symbol" w:hint="default"/>
      </w:rPr>
    </w:lvl>
    <w:lvl w:ilvl="1">
      <w:start w:val="1"/>
      <w:numFmt w:val="bullet"/>
      <w:lvlText w:val=""/>
      <w:lvlJc w:val="left"/>
      <w:pPr>
        <w:ind w:left="1435" w:hanging="360"/>
      </w:pPr>
      <w:rPr>
        <w:rFonts w:ascii="Symbol" w:hAnsi="Symbol" w:hint="default"/>
      </w:rPr>
    </w:lvl>
    <w:lvl w:ilvl="2">
      <w:start w:val="1"/>
      <w:numFmt w:val="bullet"/>
      <w:lvlText w:val=""/>
      <w:lvlJc w:val="left"/>
      <w:pPr>
        <w:ind w:left="1830" w:hanging="360"/>
      </w:pPr>
      <w:rPr>
        <w:rFonts w:ascii="Symbol" w:hAnsi="Symbol" w:hint="default"/>
      </w:rPr>
    </w:lvl>
    <w:lvl w:ilvl="3">
      <w:start w:val="1"/>
      <w:numFmt w:val="bullet"/>
      <w:lvlText w:val=""/>
      <w:lvlJc w:val="left"/>
      <w:pPr>
        <w:ind w:left="2415" w:hanging="360"/>
      </w:pPr>
      <w:rPr>
        <w:rFonts w:ascii="Symbol" w:hAnsi="Symbol" w:hint="default"/>
      </w:rPr>
    </w:lvl>
    <w:lvl w:ilvl="4">
      <w:start w:val="1"/>
      <w:numFmt w:val="bullet"/>
      <w:lvlText w:val=""/>
      <w:lvlJc w:val="left"/>
      <w:pPr>
        <w:ind w:left="2775" w:hanging="360"/>
      </w:pPr>
      <w:rPr>
        <w:rFonts w:ascii="Symbol" w:hAnsi="Symbol" w:hint="default"/>
      </w:rPr>
    </w:lvl>
    <w:lvl w:ilvl="5">
      <w:start w:val="1"/>
      <w:numFmt w:val="bullet"/>
      <w:lvlText w:val=""/>
      <w:lvlJc w:val="left"/>
      <w:pPr>
        <w:ind w:left="3135" w:hanging="360"/>
      </w:pPr>
      <w:rPr>
        <w:rFonts w:ascii="Symbol" w:hAnsi="Symbol" w:hint="default"/>
      </w:rPr>
    </w:lvl>
    <w:lvl w:ilvl="6">
      <w:start w:val="1"/>
      <w:numFmt w:val="bullet"/>
      <w:lvlText w:val=""/>
      <w:lvlJc w:val="left"/>
      <w:pPr>
        <w:ind w:left="3495" w:hanging="360"/>
      </w:pPr>
      <w:rPr>
        <w:rFonts w:ascii="Symbol" w:hAnsi="Symbol" w:hint="default"/>
      </w:rPr>
    </w:lvl>
    <w:lvl w:ilvl="7">
      <w:start w:val="1"/>
      <w:numFmt w:val="bullet"/>
      <w:lvlText w:val=""/>
      <w:lvlJc w:val="left"/>
      <w:pPr>
        <w:ind w:left="3855" w:hanging="360"/>
      </w:pPr>
      <w:rPr>
        <w:rFonts w:ascii="Symbol" w:hAnsi="Symbol" w:hint="default"/>
      </w:rPr>
    </w:lvl>
    <w:lvl w:ilvl="8">
      <w:start w:val="1"/>
      <w:numFmt w:val="bullet"/>
      <w:lvlText w:val=""/>
      <w:lvlJc w:val="left"/>
      <w:pPr>
        <w:ind w:left="4215"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s>
</file>